
<file path=[Content_Types].xml><?xml version="1.0" encoding="utf-8"?>
<Types xmlns="http://schemas.openxmlformats.org/package/2006/content-types">
  <Default Extension="xml" ContentType="application/xml"/>
  <Default Extension="bmp" ContentType="image/bmp"/>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DFBCD">
    <v:background id="_x0000_s1025">
      <v:fill type="pattern" on="t" color2="#FFFFFF" o:title="浅色竖线" focussize="0,0" r:id="rId5"/>
    </v:background>
  </w:background>
  <w:body>
    <w:p w14:paraId="75D63B08">
      <w:r>
        <w:rPr>
          <w:sz w:val="21"/>
        </w:rPr>
        <mc:AlternateContent>
          <mc:Choice Requires="wps">
            <w:drawing>
              <wp:anchor distT="0" distB="0" distL="114300" distR="114300" simplePos="0" relativeHeight="251666432" behindDoc="0" locked="0" layoutInCell="1" allowOverlap="1">
                <wp:simplePos x="0" y="0"/>
                <wp:positionH relativeFrom="column">
                  <wp:posOffset>-676910</wp:posOffset>
                </wp:positionH>
                <wp:positionV relativeFrom="paragraph">
                  <wp:posOffset>3908425</wp:posOffset>
                </wp:positionV>
                <wp:extent cx="6533515" cy="487680"/>
                <wp:effectExtent l="0" t="0" r="0" b="0"/>
                <wp:wrapNone/>
                <wp:docPr id="12" name="文本框 11"/>
                <wp:cNvGraphicFramePr/>
                <a:graphic xmlns:a="http://schemas.openxmlformats.org/drawingml/2006/main">
                  <a:graphicData uri="http://schemas.microsoft.com/office/word/2010/wordprocessingShape">
                    <wps:wsp>
                      <wps:cNvSpPr txBox="1"/>
                      <wps:spPr>
                        <a:xfrm>
                          <a:off x="361950" y="4913630"/>
                          <a:ext cx="6533515" cy="487680"/>
                        </a:xfrm>
                        <a:prstGeom prst="rect">
                          <a:avLst/>
                        </a:prstGeom>
                        <a:noFill/>
                      </wps:spPr>
                      <wps:txbx>
                        <w:txbxContent>
                          <w:p w14:paraId="75C24A3B">
                            <w:pPr>
                              <w:rPr>
                                <w:rFonts w:ascii="Times New Roman" w:eastAsia="微软雅黑 Light" w:hAnsiTheme="minorBidi"/>
                                <w:b/>
                                <w:color w:val="FFFFFF" w:themeColor="background1"/>
                                <w:kern w:val="24"/>
                                <w:sz w:val="29"/>
                                <w:szCs w:val="29"/>
                                <w14:textFill>
                                  <w14:solidFill>
                                    <w14:schemeClr w14:val="bg1"/>
                                  </w14:solidFill>
                                </w14:textFill>
                              </w:rPr>
                            </w:pPr>
                            <w:r>
                              <w:rPr>
                                <w:rFonts w:hint="eastAsia" w:ascii="Times New Roman" w:eastAsia="微软雅黑 Light" w:hAnsiTheme="minorBidi"/>
                                <w:b/>
                                <w:color w:val="FFFFFF" w:themeColor="background1"/>
                                <w:kern w:val="24"/>
                                <w:sz w:val="29"/>
                                <w:szCs w:val="29"/>
                                <w14:textFill>
                                  <w14:solidFill>
                                    <w14:schemeClr w14:val="bg1"/>
                                  </w14:solidFill>
                                </w14:textFill>
                              </w:rPr>
                              <w:t>Report on Environmental, Social and Governance (ESG) Disclosure</w:t>
                            </w:r>
                          </w:p>
                        </w:txbxContent>
                      </wps:txbx>
                      <wps:bodyPr wrap="square">
                        <a:spAutoFit/>
                      </wps:bodyPr>
                    </wps:wsp>
                  </a:graphicData>
                </a:graphic>
              </wp:anchor>
            </w:drawing>
          </mc:Choice>
          <mc:Fallback>
            <w:pict>
              <v:shape id="文本框 11" o:spid="_x0000_s1026" o:spt="202" type="#_x0000_t202" style="position:absolute;left:0pt;margin-left:-53.3pt;margin-top:307.75pt;height:38.4pt;width:514.45pt;z-index:251666432;mso-width-relative:page;mso-height-relative:page;" filled="f" stroked="f" coordsize="21600,21600" o:gfxdata="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aUexTYAAAADAEAAA8AAAAAAAAAAQAgAAAAIgAAAGRycy9kb3ducmV2Lnht&#10;bFBLAQIUABQAAAAIAIdO4kDEFtjRwAEAAF8DAAAOAAAAAAAAAAEAIAAAACcBAABkcnMvZTJvRG9j&#10;LnhtbFBLBQYAAAAABgAGAFkBAABZBQAAAAA=&#10;">
                <v:fill on="f" focussize="0,0"/>
                <v:stroke on="f"/>
                <v:imagedata o:title=""/>
                <o:lock v:ext="edit" aspectratio="f"/>
                <v:textbox style="mso-fit-shape-to-text:t;">
                  <w:txbxContent>
                    <w:p w14:paraId="75C24A3B">
                      <w:pPr>
                        <w:rPr>
                          <w:rFonts w:ascii="Times New Roman" w:eastAsia="微软雅黑 Light" w:hAnsiTheme="minorBidi"/>
                          <w:b/>
                          <w:color w:val="FFFFFF" w:themeColor="background1"/>
                          <w:kern w:val="24"/>
                          <w:sz w:val="29"/>
                          <w:szCs w:val="29"/>
                          <w14:textFill>
                            <w14:solidFill>
                              <w14:schemeClr w14:val="bg1"/>
                            </w14:solidFill>
                          </w14:textFill>
                        </w:rPr>
                      </w:pPr>
                      <w:r>
                        <w:rPr>
                          <w:rFonts w:hint="eastAsia" w:ascii="Times New Roman" w:eastAsia="微软雅黑 Light" w:hAnsiTheme="minorBidi"/>
                          <w:b/>
                          <w:color w:val="FFFFFF" w:themeColor="background1"/>
                          <w:kern w:val="24"/>
                          <w:sz w:val="29"/>
                          <w:szCs w:val="29"/>
                          <w14:textFill>
                            <w14:solidFill>
                              <w14:schemeClr w14:val="bg1"/>
                            </w14:solidFill>
                          </w14:textFill>
                        </w:rPr>
                        <w:t>Report on Environmental, Social and Governance (ESG) Disclosure</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-784860</wp:posOffset>
                </wp:positionH>
                <wp:positionV relativeFrom="paragraph">
                  <wp:posOffset>2898775</wp:posOffset>
                </wp:positionV>
                <wp:extent cx="5884545" cy="1082040"/>
                <wp:effectExtent l="0" t="0" r="0" b="0"/>
                <wp:wrapNone/>
                <wp:docPr id="13" name="文本框 12"/>
                <wp:cNvGraphicFramePr/>
                <a:graphic xmlns:a="http://schemas.openxmlformats.org/drawingml/2006/main">
                  <a:graphicData uri="http://schemas.microsoft.com/office/word/2010/wordprocessingShape">
                    <wps:wsp>
                      <wps:cNvSpPr txBox="1"/>
                      <wps:spPr>
                        <a:xfrm>
                          <a:off x="358140" y="3522980"/>
                          <a:ext cx="5884545" cy="1082040"/>
                        </a:xfrm>
                        <a:prstGeom prst="rect">
                          <a:avLst/>
                        </a:prstGeom>
                        <a:noFill/>
                      </wps:spPr>
                      <wps:txbx>
                        <w:txbxContent>
                          <w:p w14:paraId="70014B0B">
                            <w:pPr>
                              <w:pStyle w:val="6"/>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rPr>
                                <w:rFonts w:hint="eastAsia" w:ascii="方正大黑简体" w:hAnsi="方正大黑简体" w:eastAsia="方正大黑简体" w:cs="方正大黑简体"/>
                                <w:sz w:val="20"/>
                                <w:szCs w:val="20"/>
                              </w:rPr>
                            </w:pPr>
                            <w:r>
                              <w:rPr>
                                <w:rFonts w:hint="eastAsia" w:ascii="方正大黑简体" w:hAnsi="方正大黑简体" w:eastAsia="方正大黑简体" w:cs="方正大黑简体"/>
                                <w:color w:val="FFFFFF" w:themeColor="background1"/>
                                <w:kern w:val="24"/>
                                <w:sz w:val="72"/>
                                <w:szCs w:val="72"/>
                                <w14:textFill>
                                  <w14:solidFill>
                                    <w14:schemeClr w14:val="bg1"/>
                                  </w14:solidFill>
                                </w14:textFill>
                              </w:rPr>
                              <w:t>202</w:t>
                            </w:r>
                            <w:r>
                              <w:rPr>
                                <w:rFonts w:hint="eastAsia" w:ascii="方正大黑简体" w:hAnsi="方正大黑简体" w:eastAsia="方正大黑简体" w:cs="方正大黑简体"/>
                                <w:color w:val="FFFFFF" w:themeColor="background1"/>
                                <w:kern w:val="24"/>
                                <w:sz w:val="72"/>
                                <w:szCs w:val="72"/>
                                <w:lang w:val="en-US" w:eastAsia="zh-CN"/>
                                <w14:textFill>
                                  <w14:solidFill>
                                    <w14:schemeClr w14:val="bg1"/>
                                  </w14:solidFill>
                                </w14:textFill>
                              </w:rPr>
                              <w:t>4</w:t>
                            </w:r>
                            <w:r>
                              <w:rPr>
                                <w:rFonts w:hint="eastAsia" w:ascii="方正大黑简体" w:hAnsi="方正大黑简体" w:eastAsia="方正大黑简体" w:cs="方正大黑简体"/>
                                <w:color w:val="FFFFFF" w:themeColor="background1"/>
                                <w:kern w:val="24"/>
                                <w:sz w:val="72"/>
                                <w:szCs w:val="72"/>
                                <w14:textFill>
                                  <w14:solidFill>
                                    <w14:schemeClr w14:val="bg1"/>
                                  </w14:solidFill>
                                </w14:textFill>
                              </w:rPr>
                              <w:t>年度ESG披露报告</w:t>
                            </w:r>
                          </w:p>
                        </w:txbxContent>
                      </wps:txbx>
                      <wps:bodyPr wrap="square" rtlCol="0">
                        <a:spAutoFit/>
                      </wps:bodyPr>
                    </wps:wsp>
                  </a:graphicData>
                </a:graphic>
              </wp:anchor>
            </w:drawing>
          </mc:Choice>
          <mc:Fallback>
            <w:pict>
              <v:shape id="文本框 12" o:spid="_x0000_s1026" o:spt="202" type="#_x0000_t202" style="position:absolute;left:0pt;margin-left:-61.8pt;margin-top:228.25pt;height:85.2pt;width:463.35pt;z-index:251665408;mso-width-relative:page;mso-height-relative:page;" filled="f" stroked="f" coordsize="21600,21600" o:gfxdata="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EEe8q2gAAAAwBAAAPAAAAAAAAAAEAIAAAACIAAABkcnMvZG93&#10;bnJldi54bWxQSwECFAAUAAAACACHTuJATMsqF8UBAABrAwAADgAAAAAAAAABACAAAAApAQAAZHJz&#10;L2Uyb0RvYy54bWxQSwUGAAAAAAYABgBZAQAAYAUAAAAA&#10;">
                <v:fill on="f" focussize="0,0"/>
                <v:stroke on="f"/>
                <v:imagedata o:title=""/>
                <o:lock v:ext="edit" aspectratio="f"/>
                <v:textbox style="mso-fit-shape-to-text:t;">
                  <w:txbxContent>
                    <w:p w14:paraId="70014B0B">
                      <w:pPr>
                        <w:pStyle w:val="6"/>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rPr>
                          <w:rFonts w:hint="eastAsia" w:ascii="方正大黑简体" w:hAnsi="方正大黑简体" w:eastAsia="方正大黑简体" w:cs="方正大黑简体"/>
                          <w:sz w:val="20"/>
                          <w:szCs w:val="20"/>
                        </w:rPr>
                      </w:pPr>
                      <w:r>
                        <w:rPr>
                          <w:rFonts w:hint="eastAsia" w:ascii="方正大黑简体" w:hAnsi="方正大黑简体" w:eastAsia="方正大黑简体" w:cs="方正大黑简体"/>
                          <w:color w:val="FFFFFF" w:themeColor="background1"/>
                          <w:kern w:val="24"/>
                          <w:sz w:val="72"/>
                          <w:szCs w:val="72"/>
                          <w14:textFill>
                            <w14:solidFill>
                              <w14:schemeClr w14:val="bg1"/>
                            </w14:solidFill>
                          </w14:textFill>
                        </w:rPr>
                        <w:t>202</w:t>
                      </w:r>
                      <w:r>
                        <w:rPr>
                          <w:rFonts w:hint="eastAsia" w:ascii="方正大黑简体" w:hAnsi="方正大黑简体" w:eastAsia="方正大黑简体" w:cs="方正大黑简体"/>
                          <w:color w:val="FFFFFF" w:themeColor="background1"/>
                          <w:kern w:val="24"/>
                          <w:sz w:val="72"/>
                          <w:szCs w:val="72"/>
                          <w:lang w:val="en-US" w:eastAsia="zh-CN"/>
                          <w14:textFill>
                            <w14:solidFill>
                              <w14:schemeClr w14:val="bg1"/>
                            </w14:solidFill>
                          </w14:textFill>
                        </w:rPr>
                        <w:t>4</w:t>
                      </w:r>
                      <w:r>
                        <w:rPr>
                          <w:rFonts w:hint="eastAsia" w:ascii="方正大黑简体" w:hAnsi="方正大黑简体" w:eastAsia="方正大黑简体" w:cs="方正大黑简体"/>
                          <w:color w:val="FFFFFF" w:themeColor="background1"/>
                          <w:kern w:val="24"/>
                          <w:sz w:val="72"/>
                          <w:szCs w:val="72"/>
                          <w14:textFill>
                            <w14:solidFill>
                              <w14:schemeClr w14:val="bg1"/>
                            </w14:solidFill>
                          </w14:textFill>
                        </w:rPr>
                        <w:t>年度ESG披露报告</w:t>
                      </w:r>
                    </w:p>
                  </w:txbxContent>
                </v:textbox>
              </v:shape>
            </w:pict>
          </mc:Fallback>
        </mc:AlternateContent>
      </w:r>
      <w:r>
        <w:drawing>
          <wp:anchor distT="0" distB="0" distL="114300" distR="114300" simplePos="0" relativeHeight="251665408" behindDoc="1" locked="0" layoutInCell="1" allowOverlap="1">
            <wp:simplePos x="0" y="0"/>
            <wp:positionH relativeFrom="column">
              <wp:posOffset>-1170940</wp:posOffset>
            </wp:positionH>
            <wp:positionV relativeFrom="paragraph">
              <wp:posOffset>-953770</wp:posOffset>
            </wp:positionV>
            <wp:extent cx="7628890" cy="10786745"/>
            <wp:effectExtent l="0" t="0" r="3175" b="8255"/>
            <wp:wrapNone/>
            <wp:docPr id="1" name="图片 1"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
                    <pic:cNvPicPr>
                      <a:picLocks noChangeAspect="1"/>
                    </pic:cNvPicPr>
                  </pic:nvPicPr>
                  <pic:blipFill>
                    <a:blip r:embed="rId6"/>
                    <a:stretch>
                      <a:fillRect/>
                    </a:stretch>
                  </pic:blipFill>
                  <pic:spPr>
                    <a:xfrm>
                      <a:off x="0" y="0"/>
                      <a:ext cx="7628890" cy="10786745"/>
                    </a:xfrm>
                    <a:prstGeom prst="rect">
                      <a:avLst/>
                    </a:prstGeom>
                  </pic:spPr>
                </pic:pic>
              </a:graphicData>
            </a:graphic>
          </wp:anchor>
        </w:drawing>
      </w:r>
      <w:r>
        <w:rPr>
          <w:sz w:val="21"/>
        </w:rPr>
        <mc:AlternateContent>
          <mc:Choice Requires="wps">
            <w:drawing>
              <wp:anchor distT="0" distB="0" distL="114300" distR="114300" simplePos="0" relativeHeight="251677696" behindDoc="0" locked="0" layoutInCell="1" allowOverlap="1">
                <wp:simplePos x="0" y="0"/>
                <wp:positionH relativeFrom="column">
                  <wp:posOffset>-645160</wp:posOffset>
                </wp:positionH>
                <wp:positionV relativeFrom="paragraph">
                  <wp:posOffset>4571365</wp:posOffset>
                </wp:positionV>
                <wp:extent cx="6009640" cy="0"/>
                <wp:effectExtent l="0" t="12700" r="3175" b="19685"/>
                <wp:wrapNone/>
                <wp:docPr id="27" name="直接连接符 26"/>
                <wp:cNvGraphicFramePr/>
                <a:graphic xmlns:a="http://schemas.openxmlformats.org/drawingml/2006/main">
                  <a:graphicData uri="http://schemas.microsoft.com/office/word/2010/wordprocessingShape">
                    <wps:wsp>
                      <wps:cNvCnPr/>
                      <wps:spPr>
                        <a:xfrm>
                          <a:off x="497840" y="5485765"/>
                          <a:ext cx="6009640" cy="0"/>
                        </a:xfrm>
                        <a:prstGeom prst="line">
                          <a:avLst/>
                        </a:prstGeom>
                        <a:noFill/>
                        <a:ln w="25400" cap="flat" cmpd="sng" algn="ctr">
                          <a:solidFill>
                            <a:srgbClr val="FFFFFF"/>
                          </a:solidFill>
                          <a:prstDash val="solid"/>
                          <a:miter lim="800000"/>
                        </a:ln>
                        <a:effectLst/>
                      </wps:spPr>
                      <wps:bodyPr/>
                    </wps:wsp>
                  </a:graphicData>
                </a:graphic>
              </wp:anchor>
            </w:drawing>
          </mc:Choice>
          <mc:Fallback>
            <w:pict>
              <v:line id="直接连接符 26" o:spid="_x0000_s1026" o:spt="20" style="position:absolute;left:0pt;margin-left:-50.8pt;margin-top:359.95pt;height:0pt;width:473.2pt;z-index:251677696;mso-width-relative:page;mso-height-relative:page;" filled="f" stroked="t" coordsize="21600,21600" o:gfxdata="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qLdT2gAAAAwBAAAPAAAAAAAAAAEAIAAAACIAAABkcnMvZG93bnJldi54&#10;bWxQSwECFAAUAAAACACHTuJAaXcge/gBAADNAwAADgAAAAAAAAABACAAAAApAQAAZHJzL2Uyb0Rv&#10;Yy54bWxQSwUGAAAAAAYABgBZAQAAkwUAAAAA&#10;">
                <v:fill on="f" focussize="0,0"/>
                <v:stroke weight="2pt" color="#FFFFFF" miterlimit="8" joinstyle="miter"/>
                <v:imagedata o:title=""/>
                <o:lock v:ext="edit" aspectratio="f"/>
              </v:lin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-770255</wp:posOffset>
                </wp:positionH>
                <wp:positionV relativeFrom="paragraph">
                  <wp:posOffset>-144145</wp:posOffset>
                </wp:positionV>
                <wp:extent cx="6836410" cy="487680"/>
                <wp:effectExtent l="0" t="0" r="0" b="0"/>
                <wp:wrapNone/>
                <wp:docPr id="11" name="文本框 10"/>
                <wp:cNvGraphicFramePr/>
                <a:graphic xmlns:a="http://schemas.openxmlformats.org/drawingml/2006/main">
                  <a:graphicData uri="http://schemas.microsoft.com/office/word/2010/wordprocessingShape">
                    <wps:wsp>
                      <wps:cNvSpPr txBox="1"/>
                      <wps:spPr>
                        <a:xfrm>
                          <a:off x="372745" y="770255"/>
                          <a:ext cx="6836410" cy="487680"/>
                        </a:xfrm>
                        <a:prstGeom prst="rect">
                          <a:avLst/>
                        </a:prstGeom>
                        <a:noFill/>
                      </wps:spPr>
                      <wps:txbx>
                        <w:txbxContent>
                          <w:p w14:paraId="10EFCF8E">
                            <w:pPr>
                              <w:pStyle w:val="6"/>
                              <w:keepNext w:val="0"/>
                              <w:keepLines w:val="0"/>
                              <w:pageBreakBefore w:val="0"/>
                              <w:widowControl w:val="0"/>
                              <w:kinsoku/>
                              <w:wordWrap/>
                              <w:overflowPunct/>
                              <w:topLinePunct w:val="0"/>
                              <w:autoSpaceDE/>
                              <w:autoSpaceDN/>
                              <w:bidi w:val="0"/>
                              <w:adjustRightInd/>
                              <w:snapToGrid w:val="0"/>
                              <w:spacing w:line="240" w:lineRule="auto"/>
                              <w:jc w:val="distribute"/>
                              <w:textAlignment w:val="auto"/>
                              <w:rPr>
                                <w:rFonts w:hint="eastAsia" w:ascii="方正大黑简体" w:hAnsi="方正大黑简体" w:eastAsia="方正大黑简体" w:cs="方正大黑简体"/>
                                <w:lang w:val="en-US" w:eastAsia="zh-CN"/>
                              </w:rPr>
                            </w:pPr>
                            <w:r>
                              <w:rPr>
                                <w:rFonts w:hint="eastAsia" w:ascii="方正大黑简体" w:hAnsi="方正大黑简体" w:eastAsia="方正大黑简体" w:cs="方正大黑简体"/>
                                <w:color w:val="FFFFFF" w:themeColor="background1"/>
                                <w:kern w:val="24"/>
                                <w:sz w:val="32"/>
                                <w:szCs w:val="32"/>
                                <w:lang w:val="en-US" w:eastAsia="zh-CN"/>
                                <w14:textFill>
                                  <w14:solidFill>
                                    <w14:schemeClr w14:val="bg1"/>
                                  </w14:solidFill>
                                </w14:textFill>
                              </w:rPr>
                              <w:t>浙江龙游农村商业银行股份有限公司</w:t>
                            </w:r>
                          </w:p>
                        </w:txbxContent>
                      </wps:txbx>
                      <wps:bodyPr wrap="square" rtlCol="0">
                        <a:spAutoFit/>
                      </wps:bodyPr>
                    </wps:wsp>
                  </a:graphicData>
                </a:graphic>
              </wp:anchor>
            </w:drawing>
          </mc:Choice>
          <mc:Fallback>
            <w:pict>
              <v:shape id="文本框 10" o:spid="_x0000_s1026" o:spt="202" type="#_x0000_t202" style="position:absolute;left:0pt;margin-left:-60.65pt;margin-top:-11.35pt;height:38.4pt;width:538.3pt;z-index:251676672;mso-width-relative:page;mso-height-relative:page;" filled="f" stroked="f" coordsize="21600,21600" o:gfxdata="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2EqTp9gAAAALAQAADwAAAAAAAAABACAAAAAiAAAAZHJzL2Rvd25y&#10;ZXYueG1sUEsBAhQAFAAAAAgAh07iQAaz/w7FAQAAaQMAAA4AAAAAAAAAAQAgAAAAJwEAAGRycy9l&#10;Mm9Eb2MueG1sUEsFBgAAAAAGAAYAWQEAAF4FAAAAAA==&#10;">
                <v:fill on="f" focussize="0,0"/>
                <v:stroke on="f"/>
                <v:imagedata o:title=""/>
                <o:lock v:ext="edit" aspectratio="f"/>
                <v:textbox style="mso-fit-shape-to-text:t;">
                  <w:txbxContent>
                    <w:p w14:paraId="10EFCF8E">
                      <w:pPr>
                        <w:pStyle w:val="6"/>
                        <w:keepNext w:val="0"/>
                        <w:keepLines w:val="0"/>
                        <w:pageBreakBefore w:val="0"/>
                        <w:widowControl w:val="0"/>
                        <w:kinsoku/>
                        <w:wordWrap/>
                        <w:overflowPunct/>
                        <w:topLinePunct w:val="0"/>
                        <w:autoSpaceDE/>
                        <w:autoSpaceDN/>
                        <w:bidi w:val="0"/>
                        <w:adjustRightInd/>
                        <w:snapToGrid w:val="0"/>
                        <w:spacing w:line="240" w:lineRule="auto"/>
                        <w:jc w:val="distribute"/>
                        <w:textAlignment w:val="auto"/>
                        <w:rPr>
                          <w:rFonts w:hint="eastAsia" w:ascii="方正大黑简体" w:hAnsi="方正大黑简体" w:eastAsia="方正大黑简体" w:cs="方正大黑简体"/>
                          <w:lang w:val="en-US" w:eastAsia="zh-CN"/>
                        </w:rPr>
                      </w:pPr>
                      <w:r>
                        <w:rPr>
                          <w:rFonts w:hint="eastAsia" w:ascii="方正大黑简体" w:hAnsi="方正大黑简体" w:eastAsia="方正大黑简体" w:cs="方正大黑简体"/>
                          <w:color w:val="FFFFFF" w:themeColor="background1"/>
                          <w:kern w:val="24"/>
                          <w:sz w:val="32"/>
                          <w:szCs w:val="32"/>
                          <w:lang w:val="en-US" w:eastAsia="zh-CN"/>
                          <w14:textFill>
                            <w14:solidFill>
                              <w14:schemeClr w14:val="bg1"/>
                            </w14:solidFill>
                          </w14:textFill>
                        </w:rPr>
                        <w:t>浙江龙游农村商业银行股份有限公司</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-609600</wp:posOffset>
                </wp:positionH>
                <wp:positionV relativeFrom="paragraph">
                  <wp:posOffset>6471920</wp:posOffset>
                </wp:positionV>
                <wp:extent cx="0" cy="323850"/>
                <wp:effectExtent l="38100" t="0" r="48260" b="0"/>
                <wp:wrapNone/>
                <wp:docPr id="67" name="直接连接符 66"/>
                <wp:cNvGraphicFramePr/>
                <a:graphic xmlns:a="http://schemas.openxmlformats.org/drawingml/2006/main">
                  <a:graphicData uri="http://schemas.microsoft.com/office/word/2010/wordprocessingShape">
                    <wps:wsp>
                      <wps:cNvCnPr/>
                      <wps:spPr>
                        <a:xfrm>
                          <a:off x="533400" y="7386320"/>
                          <a:ext cx="0" cy="323850"/>
                        </a:xfrm>
                        <a:prstGeom prst="line">
                          <a:avLst/>
                        </a:prstGeom>
                        <a:noFill/>
                        <a:ln w="76200" cap="flat" cmpd="sng" algn="ctr">
                          <a:solidFill>
                            <a:srgbClr val="FFFFFF"/>
                          </a:solidFill>
                          <a:prstDash val="solid"/>
                          <a:miter lim="800000"/>
                        </a:ln>
                        <a:effectLst/>
                      </wps:spPr>
                      <wps:bodyPr/>
                    </wps:wsp>
                  </a:graphicData>
                </a:graphic>
              </wp:anchor>
            </w:drawing>
          </mc:Choice>
          <mc:Fallback>
            <w:pict>
              <v:line id="直接连接符 66" o:spid="_x0000_s1026" o:spt="20" style="position:absolute;left:0pt;margin-left:-48pt;margin-top:509.6pt;height:25.5pt;width:0pt;z-index:251675648;mso-width-relative:page;mso-height-relative:page;" filled="f" stroked="t" coordsize="21600,21600" o:gfxdata="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iesj9kAAAANAQAADwAAAAAAAAABACAAAAAiAAAAZHJzL2Rvd25yZXYueG1s&#10;UEsBAhQAFAAAAAgAh07iQDku/HP3AQAAzAMAAA4AAAAAAAAAAQAgAAAAKAEAAGRycy9lMm9Eb2Mu&#10;eG1sUEsFBgAAAAAGAAYAWQEAAJEFAAAAAA==&#10;">
                <v:fill on="f" focussize="0,0"/>
                <v:stroke weight="6pt" color="#FFFFFF" miterlimit="8" joinstyle="miter"/>
                <v:imagedata o:title=""/>
                <o:lock v:ext="edit" aspectratio="f"/>
              </v:lin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-609600</wp:posOffset>
                </wp:positionH>
                <wp:positionV relativeFrom="paragraph">
                  <wp:posOffset>5924550</wp:posOffset>
                </wp:positionV>
                <wp:extent cx="0" cy="323850"/>
                <wp:effectExtent l="38100" t="0" r="48260" b="0"/>
                <wp:wrapNone/>
                <wp:docPr id="66" name="直接连接符 65"/>
                <wp:cNvGraphicFramePr/>
                <a:graphic xmlns:a="http://schemas.openxmlformats.org/drawingml/2006/main">
                  <a:graphicData uri="http://schemas.microsoft.com/office/word/2010/wordprocessingShape">
                    <wps:wsp>
                      <wps:cNvCnPr/>
                      <wps:spPr>
                        <a:xfrm>
                          <a:off x="533400" y="6838950"/>
                          <a:ext cx="0" cy="323850"/>
                        </a:xfrm>
                        <a:prstGeom prst="line">
                          <a:avLst/>
                        </a:prstGeom>
                        <a:noFill/>
                        <a:ln w="76200" cap="flat" cmpd="sng" algn="ctr">
                          <a:solidFill>
                            <a:srgbClr val="FFFFFF"/>
                          </a:solidFill>
                          <a:prstDash val="solid"/>
                          <a:miter lim="800000"/>
                        </a:ln>
                        <a:effectLst/>
                      </wps:spPr>
                      <wps:bodyPr/>
                    </wps:wsp>
                  </a:graphicData>
                </a:graphic>
              </wp:anchor>
            </w:drawing>
          </mc:Choice>
          <mc:Fallback>
            <w:pict>
              <v:line id="直接连接符 65" o:spid="_x0000_s1026" o:spt="20" style="position:absolute;left:0pt;margin-left:-48pt;margin-top:466.5pt;height:25.5pt;width:0pt;z-index:251674624;mso-width-relative:page;mso-height-relative:page;" filled="f" stroked="t" coordsize="21600,21600" o:gfxdata="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pOw9dkAAAALAQAADwAAAAAAAAABACAAAAAiAAAAZHJzL2Rvd25yZXYueG1s&#10;UEsBAhQAFAAAAAgAh07iQN+Cidf3AQAAzAMAAA4AAAAAAAAAAQAgAAAAKAEAAGRycy9lMm9Eb2Mu&#10;eG1sUEsFBgAAAAAGAAYAWQEAAJEFAAAAAA==&#10;">
                <v:fill on="f" focussize="0,0"/>
                <v:stroke weight="6pt" color="#FFFFFF" miterlimit="8" joinstyle="miter"/>
                <v:imagedata o:title=""/>
                <o:lock v:ext="edit" aspectratio="f"/>
              </v:lin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-609600</wp:posOffset>
                </wp:positionH>
                <wp:positionV relativeFrom="paragraph">
                  <wp:posOffset>5377180</wp:posOffset>
                </wp:positionV>
                <wp:extent cx="0" cy="323850"/>
                <wp:effectExtent l="38100" t="0" r="48260" b="0"/>
                <wp:wrapNone/>
                <wp:docPr id="65" name="直接连接符 64"/>
                <wp:cNvGraphicFramePr/>
                <a:graphic xmlns:a="http://schemas.openxmlformats.org/drawingml/2006/main">
                  <a:graphicData uri="http://schemas.microsoft.com/office/word/2010/wordprocessingShape">
                    <wps:wsp>
                      <wps:cNvCnPr/>
                      <wps:spPr>
                        <a:xfrm>
                          <a:off x="533400" y="6291580"/>
                          <a:ext cx="0" cy="323850"/>
                        </a:xfrm>
                        <a:prstGeom prst="line">
                          <a:avLst/>
                        </a:prstGeom>
                        <a:noFill/>
                        <a:ln w="76200" cap="flat" cmpd="sng" algn="ctr">
                          <a:solidFill>
                            <a:srgbClr val="FFFFFF"/>
                          </a:solidFill>
                          <a:prstDash val="solid"/>
                          <a:miter lim="800000"/>
                        </a:ln>
                        <a:effectLst/>
                      </wps:spPr>
                      <wps:bodyPr/>
                    </wps:wsp>
                  </a:graphicData>
                </a:graphic>
              </wp:anchor>
            </w:drawing>
          </mc:Choice>
          <mc:Fallback>
            <w:pict>
              <v:line id="直接连接符 64" o:spid="_x0000_s1026" o:spt="20" style="position:absolute;left:0pt;margin-left:-48pt;margin-top:423.4pt;height:25.5pt;width:0pt;z-index:251673600;mso-width-relative:page;mso-height-relative:page;" filled="f" stroked="t" coordsize="21600,21600" o:gfxdata="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kvXkzZAAAACwEAAA8AAAAAAAAAAQAgAAAAIgAAAGRycy9kb3ducmV2Lnht&#10;bFBLAQIUABQAAAAIAIdO4kB79chb+AEAAMwDAAAOAAAAAAAAAAEAIAAAACgBAABkcnMvZTJvRG9j&#10;LnhtbFBLBQYAAAAABgAGAFkBAACSBQAAAAA=&#10;">
                <v:fill on="f" focussize="0,0"/>
                <v:stroke weight="6pt" color="#FFFFFF" miterlimit="8" joinstyle="miter"/>
                <v:imagedata o:title=""/>
                <o:lock v:ext="edit" aspectratio="f"/>
              </v:lin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791845</wp:posOffset>
                </wp:positionH>
                <wp:positionV relativeFrom="paragraph">
                  <wp:posOffset>6482080</wp:posOffset>
                </wp:positionV>
                <wp:extent cx="3018155" cy="487680"/>
                <wp:effectExtent l="0" t="0" r="0" b="0"/>
                <wp:wrapNone/>
                <wp:docPr id="64" name="文本框 63"/>
                <wp:cNvGraphicFramePr/>
                <a:graphic xmlns:a="http://schemas.openxmlformats.org/drawingml/2006/main">
                  <a:graphicData uri="http://schemas.microsoft.com/office/word/2010/wordprocessingShape">
                    <wps:wsp>
                      <wps:cNvSpPr txBox="1"/>
                      <wps:spPr>
                        <a:xfrm>
                          <a:off x="1934845" y="7396480"/>
                          <a:ext cx="3018155" cy="487680"/>
                        </a:xfrm>
                        <a:prstGeom prst="rect">
                          <a:avLst/>
                        </a:prstGeom>
                        <a:noFill/>
                      </wps:spPr>
                      <wps:txbx>
                        <w:txbxContent>
                          <w:p w14:paraId="373ED41A">
                            <w:pP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pPr>
                            <w: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t>浙江省衢州市龙游县荣昌大道683号</w:t>
                            </w:r>
                          </w:p>
                        </w:txbxContent>
                      </wps:txbx>
                      <wps:bodyPr wrap="square" rtlCol="0">
                        <a:spAutoFit/>
                      </wps:bodyPr>
                    </wps:wsp>
                  </a:graphicData>
                </a:graphic>
              </wp:anchor>
            </w:drawing>
          </mc:Choice>
          <mc:Fallback>
            <w:pict>
              <v:shape id="文本框 63" o:spid="_x0000_s1026" o:spt="202" type="#_x0000_t202" style="position:absolute;left:0pt;margin-left:62.35pt;margin-top:510.4pt;height:38.4pt;width:237.65pt;z-index:251672576;mso-width-relative:page;mso-height-relative:page;" filled="f" stroked="f" coordsize="21600,21600" o:gfxdata="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8Q94r2AAAAA0BAAAPAAAAAAAAAAEAIAAAACIAAABkcnMvZG93&#10;bnJldi54bWxQSwECFAAUAAAACACHTuJAh1yjpMcBAABrAwAADgAAAAAAAAABACAAAAAnAQAAZHJz&#10;L2Uyb0RvYy54bWxQSwUGAAAAAAYABgBZAQAAYAUAAAAA&#10;">
                <v:fill on="f" focussize="0,0"/>
                <v:stroke on="f"/>
                <v:imagedata o:title=""/>
                <o:lock v:ext="edit" aspectratio="f"/>
                <v:textbox style="mso-fit-shape-to-text:t;">
                  <w:txbxContent>
                    <w:p w14:paraId="373ED41A">
                      <w:pP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pPr>
                      <w: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t>浙江省衢州市龙游县荣昌大道683号</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-442595</wp:posOffset>
                </wp:positionH>
                <wp:positionV relativeFrom="paragraph">
                  <wp:posOffset>6463665</wp:posOffset>
                </wp:positionV>
                <wp:extent cx="1083310" cy="487680"/>
                <wp:effectExtent l="0" t="0" r="0" b="0"/>
                <wp:wrapNone/>
                <wp:docPr id="63" name="文本框 62"/>
                <wp:cNvGraphicFramePr/>
                <a:graphic xmlns:a="http://schemas.openxmlformats.org/drawingml/2006/main">
                  <a:graphicData uri="http://schemas.microsoft.com/office/word/2010/wordprocessingShape">
                    <wps:wsp>
                      <wps:cNvSpPr txBox="1"/>
                      <wps:spPr>
                        <a:xfrm>
                          <a:off x="700405" y="7378065"/>
                          <a:ext cx="1083310" cy="487680"/>
                        </a:xfrm>
                        <a:prstGeom prst="rect">
                          <a:avLst/>
                        </a:prstGeom>
                        <a:noFill/>
                      </wps:spPr>
                      <wps:txbx>
                        <w:txbxContent>
                          <w:p w14:paraId="2389B4EE">
                            <w:pP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pPr>
                            <w: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t>通讯地址</w:t>
                            </w:r>
                          </w:p>
                        </w:txbxContent>
                      </wps:txbx>
                      <wps:bodyPr wrap="square" rtlCol="0">
                        <a:spAutoFit/>
                      </wps:bodyPr>
                    </wps:wsp>
                  </a:graphicData>
                </a:graphic>
              </wp:anchor>
            </w:drawing>
          </mc:Choice>
          <mc:Fallback>
            <w:pict>
              <v:shape id="文本框 62" o:spid="_x0000_s1026" o:spt="202" type="#_x0000_t202" style="position:absolute;left:0pt;margin-left:-34.85pt;margin-top:508.95pt;height:38.4pt;width:85.3pt;z-index:251671552;mso-width-relative:page;mso-height-relative:page;" filled="f" stroked="f" coordsize="21600,21600" o:gfxdata="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kIJXc2AAAAA0BAAAPAAAAAAAAAAEAIAAAACIAAABkcnMvZG93&#10;bnJldi54bWxQSwECFAAUAAAACACHTuJAHosItscBAABqAwAADgAAAAAAAAABACAAAAAnAQAAZHJz&#10;L2Uyb0RvYy54bWxQSwUGAAAAAAYABgBZAQAAYAUAAAAA&#10;">
                <v:fill on="f" focussize="0,0"/>
                <v:stroke on="f"/>
                <v:imagedata o:title=""/>
                <o:lock v:ext="edit" aspectratio="f"/>
                <v:textbox style="mso-fit-shape-to-text:t;">
                  <w:txbxContent>
                    <w:p w14:paraId="2389B4EE">
                      <w:pP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pPr>
                      <w: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t>通讯地址</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791845</wp:posOffset>
                </wp:positionH>
                <wp:positionV relativeFrom="paragraph">
                  <wp:posOffset>5946775</wp:posOffset>
                </wp:positionV>
                <wp:extent cx="2150110" cy="487680"/>
                <wp:effectExtent l="0" t="0" r="0" b="0"/>
                <wp:wrapNone/>
                <wp:docPr id="62" name="文本框 61"/>
                <wp:cNvGraphicFramePr/>
                <a:graphic xmlns:a="http://schemas.openxmlformats.org/drawingml/2006/main">
                  <a:graphicData uri="http://schemas.microsoft.com/office/word/2010/wordprocessingShape">
                    <wps:wsp>
                      <wps:cNvSpPr txBox="1"/>
                      <wps:spPr>
                        <a:xfrm>
                          <a:off x="1934845" y="6861175"/>
                          <a:ext cx="2150110" cy="487680"/>
                        </a:xfrm>
                        <a:prstGeom prst="rect">
                          <a:avLst/>
                        </a:prstGeom>
                        <a:noFill/>
                      </wps:spPr>
                      <wps:txbx>
                        <w:txbxContent>
                          <w:p w14:paraId="31361167">
                            <w:pP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pPr>
                            <w: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t>0570-7011899</w:t>
                            </w:r>
                          </w:p>
                        </w:txbxContent>
                      </wps:txbx>
                      <wps:bodyPr wrap="square" rtlCol="0">
                        <a:spAutoFit/>
                      </wps:bodyPr>
                    </wps:wsp>
                  </a:graphicData>
                </a:graphic>
              </wp:anchor>
            </w:drawing>
          </mc:Choice>
          <mc:Fallback>
            <w:pict>
              <v:shape id="文本框 61" o:spid="_x0000_s1026" o:spt="202" type="#_x0000_t202" style="position:absolute;left:0pt;margin-left:62.35pt;margin-top:468.25pt;height:38.4pt;width:169.3pt;z-index:251670528;mso-width-relative:page;mso-height-relative:page;" filled="f" stroked="f" coordsize="21600,21600" o:gfxdata="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QVDhjZAAAADAEAAA8AAAAAAAAAAQAgAAAAIgAAAGRycy9k&#10;b3ducmV2LnhtbFBLAQIUABQAAAAIAIdO4kAKAgQryAEAAGsDAAAOAAAAAAAAAAEAIAAAACgBAABk&#10;cnMvZTJvRG9jLnhtbFBLBQYAAAAABgAGAFkBAABiBQAAAAA=&#10;">
                <v:fill on="f" focussize="0,0"/>
                <v:stroke on="f"/>
                <v:imagedata o:title=""/>
                <o:lock v:ext="edit" aspectratio="f"/>
                <v:textbox style="mso-fit-shape-to-text:t;">
                  <w:txbxContent>
                    <w:p w14:paraId="31361167">
                      <w:pP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pPr>
                      <w: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t>0570-7011899</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-442595</wp:posOffset>
                </wp:positionH>
                <wp:positionV relativeFrom="paragraph">
                  <wp:posOffset>5937250</wp:posOffset>
                </wp:positionV>
                <wp:extent cx="1083310" cy="487680"/>
                <wp:effectExtent l="0" t="0" r="0" b="0"/>
                <wp:wrapNone/>
                <wp:docPr id="61" name="文本框 60"/>
                <wp:cNvGraphicFramePr/>
                <a:graphic xmlns:a="http://schemas.openxmlformats.org/drawingml/2006/main">
                  <a:graphicData uri="http://schemas.microsoft.com/office/word/2010/wordprocessingShape">
                    <wps:wsp>
                      <wps:cNvSpPr txBox="1"/>
                      <wps:spPr>
                        <a:xfrm>
                          <a:off x="700405" y="6851650"/>
                          <a:ext cx="1083310" cy="487680"/>
                        </a:xfrm>
                        <a:prstGeom prst="rect">
                          <a:avLst/>
                        </a:prstGeom>
                        <a:noFill/>
                      </wps:spPr>
                      <wps:txbx>
                        <w:txbxContent>
                          <w:p w14:paraId="77BFAF9F">
                            <w:pP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pPr>
                            <w: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t>联系方式</w:t>
                            </w:r>
                          </w:p>
                        </w:txbxContent>
                      </wps:txbx>
                      <wps:bodyPr wrap="square" rtlCol="0">
                        <a:spAutoFit/>
                      </wps:bodyPr>
                    </wps:wsp>
                  </a:graphicData>
                </a:graphic>
              </wp:anchor>
            </w:drawing>
          </mc:Choice>
          <mc:Fallback>
            <w:pict>
              <v:shape id="文本框 60" o:spid="_x0000_s1026" o:spt="202" type="#_x0000_t202" style="position:absolute;left:0pt;margin-left:-34.85pt;margin-top:467.5pt;height:38.4pt;width:85.3pt;z-index:251669504;mso-width-relative:page;mso-height-relative:page;" filled="f" stroked="f" coordsize="21600,21600" o:gfxdata="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9FdI89gAAAAMAQAADwAAAAAAAAABACAAAAAiAAAAZHJzL2Rvd25y&#10;ZXYueG1sUEsBAhQAFAAAAAgAh07iQMAVwFjFAQAAagMAAA4AAAAAAAAAAQAgAAAAJwEAAGRycy9l&#10;Mm9Eb2MueG1sUEsFBgAAAAAGAAYAWQEAAF4FAAAAAA==&#10;">
                <v:fill on="f" focussize="0,0"/>
                <v:stroke on="f"/>
                <v:imagedata o:title=""/>
                <o:lock v:ext="edit" aspectratio="f"/>
                <v:textbox style="mso-fit-shape-to-text:t;">
                  <w:txbxContent>
                    <w:p w14:paraId="77BFAF9F">
                      <w:pP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pPr>
                      <w: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t>联系方式</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791845</wp:posOffset>
                </wp:positionH>
                <wp:positionV relativeFrom="paragraph">
                  <wp:posOffset>5388610</wp:posOffset>
                </wp:positionV>
                <wp:extent cx="3265805" cy="487680"/>
                <wp:effectExtent l="0" t="0" r="0" b="0"/>
                <wp:wrapNone/>
                <wp:docPr id="60" name="文本框 59"/>
                <wp:cNvGraphicFramePr/>
                <a:graphic xmlns:a="http://schemas.openxmlformats.org/drawingml/2006/main">
                  <a:graphicData uri="http://schemas.microsoft.com/office/word/2010/wordprocessingShape">
                    <wps:wsp>
                      <wps:cNvSpPr txBox="1"/>
                      <wps:spPr>
                        <a:xfrm>
                          <a:off x="1934845" y="6303010"/>
                          <a:ext cx="3265805" cy="487680"/>
                        </a:xfrm>
                        <a:prstGeom prst="rect">
                          <a:avLst/>
                        </a:prstGeom>
                        <a:noFill/>
                      </wps:spPr>
                      <wps:txbx>
                        <w:txbxContent>
                          <w:p w14:paraId="5CECFB5D">
                            <w:pP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pPr>
                            <w: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t>2024年1月1日至2024年12月31日</w:t>
                            </w:r>
                          </w:p>
                        </w:txbxContent>
                      </wps:txbx>
                      <wps:bodyPr wrap="square" rtlCol="0">
                        <a:spAutoFit/>
                      </wps:bodyPr>
                    </wps:wsp>
                  </a:graphicData>
                </a:graphic>
              </wp:anchor>
            </w:drawing>
          </mc:Choice>
          <mc:Fallback>
            <w:pict>
              <v:shape id="文本框 59" o:spid="_x0000_s1026" o:spt="202" type="#_x0000_t202" style="position:absolute;left:0pt;margin-left:62.35pt;margin-top:424.3pt;height:38.4pt;width:257.15pt;z-index:251668480;mso-width-relative:page;mso-height-relative:page;" filled="f" stroked="f" coordsize="21600,21600" o:gfxdata="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K/FOs9kAAAALAQAADwAAAAAAAAABACAAAAAiAAAAZHJzL2Rv&#10;d25yZXYueG1sUEsBAhQAFAAAAAgAh07iQPlu9ZPHAQAAawMAAA4AAAAAAAAAAQAgAAAAKAEAAGRy&#10;cy9lMm9Eb2MueG1sUEsFBgAAAAAGAAYAWQEAAGEFAAAAAA==&#10;">
                <v:fill on="f" focussize="0,0"/>
                <v:stroke on="f"/>
                <v:imagedata o:title=""/>
                <o:lock v:ext="edit" aspectratio="f"/>
                <v:textbox style="mso-fit-shape-to-text:t;">
                  <w:txbxContent>
                    <w:p w14:paraId="5CECFB5D">
                      <w:pP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pPr>
                      <w:r>
                        <w:rPr>
                          <w:rFonts w:hint="eastAsia" w:ascii="方正大黑简体" w:hAnsi="方正大黑简体" w:eastAsia="方正大黑简体" w:cs="方正大黑简体"/>
                          <w:color w:val="FFFFFF" w:themeColor="background1"/>
                          <w:kern w:val="24"/>
                          <w:sz w:val="28"/>
                          <w:szCs w:val="28"/>
                          <w14:textFill>
                            <w14:solidFill>
                              <w14:schemeClr w14:val="bg1"/>
                            </w14:solidFill>
                          </w14:textFill>
                        </w:rPr>
                        <w:t>2024年1月1日至2024年12月31日</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-442595</wp:posOffset>
                </wp:positionH>
                <wp:positionV relativeFrom="paragraph">
                  <wp:posOffset>5388610</wp:posOffset>
                </wp:positionV>
                <wp:extent cx="1083310" cy="487680"/>
                <wp:effectExtent l="0" t="0" r="0" b="0"/>
                <wp:wrapNone/>
                <wp:docPr id="59" name="文本框 58"/>
                <wp:cNvGraphicFramePr/>
                <a:graphic xmlns:a="http://schemas.openxmlformats.org/drawingml/2006/main">
                  <a:graphicData uri="http://schemas.microsoft.com/office/word/2010/wordprocessingShape">
                    <wps:wsp>
                      <wps:cNvSpPr txBox="1"/>
                      <wps:spPr>
                        <a:xfrm>
                          <a:off x="700405" y="6303010"/>
                          <a:ext cx="1083310" cy="487680"/>
                        </a:xfrm>
                        <a:prstGeom prst="rect">
                          <a:avLst/>
                        </a:prstGeom>
                        <a:noFill/>
                      </wps:spPr>
                      <wps:txbx>
                        <w:txbxContent>
                          <w:p w14:paraId="0299C318">
                            <w:pP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pPr>
                            <w: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t>报告期间</w:t>
                            </w:r>
                          </w:p>
                        </w:txbxContent>
                      </wps:txbx>
                      <wps:bodyPr wrap="square" rtlCol="0">
                        <a:spAutoFit/>
                      </wps:bodyPr>
                    </wps:wsp>
                  </a:graphicData>
                </a:graphic>
              </wp:anchor>
            </w:drawing>
          </mc:Choice>
          <mc:Fallback>
            <w:pict>
              <v:shape id="文本框 58" o:spid="_x0000_s1026" o:spt="202" type="#_x0000_t202" style="position:absolute;left:0pt;margin-left:-34.85pt;margin-top:424.3pt;height:38.4pt;width:85.3pt;z-index:251667456;mso-width-relative:page;mso-height-relative:page;" filled="f" stroked="f" coordsize="21600,21600" o:gfxdata="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8YQza9kAAAALAQAADwAAAAAAAAABACAAAAAiAAAAZHJzL2Rv&#10;d25yZXYueG1sUEsBAhQAFAAAAAgAh07iQGFopwjHAQAAagMAAA4AAAAAAAAAAQAgAAAAKAEAAGRy&#10;cy9lMm9Eb2MueG1sUEsFBgAAAAAGAAYAWQEAAGEFAAAAAA==&#10;">
                <v:fill on="f" focussize="0,0"/>
                <v:stroke on="f"/>
                <v:imagedata o:title=""/>
                <o:lock v:ext="edit" aspectratio="f"/>
                <v:textbox style="mso-fit-shape-to-text:t;">
                  <w:txbxContent>
                    <w:p w14:paraId="0299C318">
                      <w:pP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pPr>
                      <w:r>
                        <w:rPr>
                          <w:rFonts w:hint="eastAsia" w:ascii="方正大黑简体" w:hAnsi="方正大黑简体" w:eastAsia="方正大黑简体" w:cs="方正大黑简体"/>
                          <w:color w:val="FFFFFF" w:themeColor="background1"/>
                          <w:kern w:val="24"/>
                          <w:sz w:val="32"/>
                          <w:szCs w:val="32"/>
                          <w14:textFill>
                            <w14:solidFill>
                              <w14:schemeClr w14:val="bg1"/>
                            </w14:solidFill>
                          </w14:textFill>
                        </w:rPr>
                        <w:t>报告期间</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-770255</wp:posOffset>
                </wp:positionH>
                <wp:positionV relativeFrom="paragraph">
                  <wp:posOffset>1835150</wp:posOffset>
                </wp:positionV>
                <wp:extent cx="5053965" cy="1082040"/>
                <wp:effectExtent l="0" t="0" r="0" b="0"/>
                <wp:wrapNone/>
                <wp:docPr id="39" name="文本框 38"/>
                <wp:cNvGraphicFramePr/>
                <a:graphic xmlns:a="http://schemas.openxmlformats.org/drawingml/2006/main">
                  <a:graphicData uri="http://schemas.microsoft.com/office/word/2010/wordprocessingShape">
                    <wps:wsp>
                      <wps:cNvSpPr txBox="1"/>
                      <wps:spPr>
                        <a:xfrm>
                          <a:off x="372745" y="2749550"/>
                          <a:ext cx="5053965" cy="1082040"/>
                        </a:xfrm>
                        <a:prstGeom prst="rect">
                          <a:avLst/>
                        </a:prstGeom>
                        <a:noFill/>
                      </wps:spPr>
                      <wps:txbx>
                        <w:txbxContent>
                          <w:p w14:paraId="1CB56CD4">
                            <w:pPr>
                              <w:rPr>
                                <w:rFonts w:hint="eastAsia" w:ascii="方正大黑简体" w:hAnsi="方正大黑简体" w:eastAsia="方正大黑简体" w:cs="方正大黑简体"/>
                                <w:color w:val="FFFFFF" w:themeColor="background1"/>
                                <w:kern w:val="114"/>
                                <w:sz w:val="108"/>
                                <w:szCs w:val="108"/>
                                <w14:textFill>
                                  <w14:solidFill>
                                    <w14:schemeClr w14:val="bg1"/>
                                  </w14:solidFill>
                                </w14:textFill>
                              </w:rPr>
                            </w:pPr>
                            <w:r>
                              <w:rPr>
                                <w:rFonts w:hint="eastAsia" w:ascii="方正大黑简体" w:hAnsi="方正大黑简体" w:eastAsia="方正大黑简体" w:cs="方正大黑简体"/>
                                <w:color w:val="FFFFFF" w:themeColor="background1"/>
                                <w:kern w:val="114"/>
                                <w:sz w:val="108"/>
                                <w:szCs w:val="108"/>
                                <w14:textFill>
                                  <w14:solidFill>
                                    <w14:schemeClr w14:val="bg1"/>
                                  </w14:solidFill>
                                </w14:textFill>
                              </w:rPr>
                              <w:t>龙游农商银行</w:t>
                            </w:r>
                          </w:p>
                        </w:txbxContent>
                      </wps:txbx>
                      <wps:bodyPr wrap="square" rtlCol="0">
                        <a:spAutoFit/>
                      </wps:bodyPr>
                    </wps:wsp>
                  </a:graphicData>
                </a:graphic>
              </wp:anchor>
            </w:drawing>
          </mc:Choice>
          <mc:Fallback>
            <w:pict>
              <v:shape id="文本框 38" o:spid="_x0000_s1026" o:spt="202" type="#_x0000_t202" style="position:absolute;left:0pt;margin-left:-60.65pt;margin-top:144.5pt;height:85.2pt;width:397.95pt;z-index:251664384;mso-width-relative:page;mso-height-relative:page;" filled="f" stroked="f" coordsize="21600,21600" o:gfxdata="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Y29GEdsAAAAMAQAADwAAAAAAAAABACAAAAAiAAAAZHJz&#10;L2Rvd25yZXYueG1sUEsBAhQAFAAAAAgAh07iQCtVV7zIAQAAawMAAA4AAAAAAAAAAQAgAAAAKgEA&#10;AGRycy9lMm9Eb2MueG1sUEsFBgAAAAAGAAYAWQEAAGQFAAAAAA==&#10;">
                <v:fill on="f" focussize="0,0"/>
                <v:stroke on="f"/>
                <v:imagedata o:title=""/>
                <o:lock v:ext="edit" aspectratio="f"/>
                <v:textbox style="mso-fit-shape-to-text:t;">
                  <w:txbxContent>
                    <w:p w14:paraId="1CB56CD4">
                      <w:pPr>
                        <w:rPr>
                          <w:rFonts w:hint="eastAsia" w:ascii="方正大黑简体" w:hAnsi="方正大黑简体" w:eastAsia="方正大黑简体" w:cs="方正大黑简体"/>
                          <w:color w:val="FFFFFF" w:themeColor="background1"/>
                          <w:kern w:val="114"/>
                          <w:sz w:val="108"/>
                          <w:szCs w:val="108"/>
                          <w14:textFill>
                            <w14:solidFill>
                              <w14:schemeClr w14:val="bg1"/>
                            </w14:solidFill>
                          </w14:textFill>
                        </w:rPr>
                      </w:pPr>
                      <w:r>
                        <w:rPr>
                          <w:rFonts w:hint="eastAsia" w:ascii="方正大黑简体" w:hAnsi="方正大黑简体" w:eastAsia="方正大黑简体" w:cs="方正大黑简体"/>
                          <w:color w:val="FFFFFF" w:themeColor="background1"/>
                          <w:kern w:val="114"/>
                          <w:sz w:val="108"/>
                          <w:szCs w:val="108"/>
                          <w14:textFill>
                            <w14:solidFill>
                              <w14:schemeClr w14:val="bg1"/>
                            </w14:solidFill>
                          </w14:textFill>
                        </w:rPr>
                        <w:t>龙游农商银行</w:t>
                      </w:r>
                    </w:p>
                  </w:txbxContent>
                </v:textbox>
              </v:shape>
            </w:pict>
          </mc:Fallback>
        </mc:AlternateContent>
      </w:r>
    </w:p>
    <w:p w14:paraId="5D567B1A">
      <w:pPr>
        <w:jc w:val="center"/>
        <w:rPr>
          <w:rFonts w:hint="eastAsia" w:ascii="方正小标宋_GBK" w:hAnsi="方正小标宋_GBK" w:eastAsia="方正小标宋_GBK" w:cs="方正小标宋_GBK"/>
          <w:sz w:val="44"/>
          <w:szCs w:val="44"/>
        </w:rPr>
        <w:sectPr>
          <w:headerReference r:id="rId3" w:type="default"/>
          <w:pgSz w:w="11906" w:h="16838"/>
          <w:pgMar w:top="1440" w:right="1800" w:bottom="1440" w:left="1800" w:header="851" w:footer="992" w:gutter="0"/>
          <w:cols w:space="425" w:num="1"/>
          <w:docGrid w:type="lines" w:linePitch="312" w:charSpace="0"/>
        </w:sectPr>
      </w:pPr>
    </w:p>
    <w:p w14:paraId="39C9BD55">
      <w:pPr>
        <w:keepNext w:val="0"/>
        <w:keepLines w:val="0"/>
        <w:pageBreakBefore w:val="0"/>
        <w:widowControl w:val="0"/>
        <w:kinsoku/>
        <w:wordWrap/>
        <w:overflowPunct/>
        <w:topLinePunct w:val="0"/>
        <w:autoSpaceDE/>
        <w:autoSpaceDN/>
        <w:bidi w:val="0"/>
        <w:adjustRightInd/>
        <w:snapToGrid/>
        <w:spacing w:before="313" w:beforeLines="100" w:after="625" w:afterLines="200"/>
        <w:jc w:val="center"/>
        <w:textAlignment w:val="auto"/>
        <w:rPr>
          <w:rFonts w:hint="eastAsia" w:ascii="黑体" w:hAnsi="黑体" w:eastAsia="黑体" w:cs="黑体"/>
          <w:b/>
          <w:bCs/>
          <w:color w:val="006400"/>
          <w:sz w:val="44"/>
          <w:szCs w:val="44"/>
          <w:lang w:val="en-US" w:eastAsia="zh-CN"/>
        </w:rPr>
      </w:pPr>
      <w:r>
        <w:rPr>
          <w:rFonts w:hint="eastAsia" w:ascii="黑体" w:hAnsi="黑体" w:eastAsia="黑体" w:cs="黑体"/>
          <w:b/>
          <w:bCs/>
          <w:color w:val="006400"/>
          <w:sz w:val="44"/>
          <w:szCs w:val="44"/>
          <w:lang w:val="en-US" w:eastAsia="zh-CN"/>
        </w:rPr>
        <w:t>目 录</w:t>
      </w:r>
    </w:p>
    <w:p w14:paraId="6AA92C3C">
      <w:pPr>
        <w:rPr>
          <w:rFonts w:hint="eastAsia" w:ascii="黑体" w:hAnsi="黑体" w:eastAsia="黑体" w:cs="黑体"/>
          <w:b/>
          <w:bCs/>
          <w:color w:val="00B050"/>
          <w:sz w:val="32"/>
          <w:szCs w:val="32"/>
          <w:lang w:val="en-US" w:eastAsia="zh-CN"/>
        </w:rPr>
      </w:pPr>
      <w:r>
        <w:rPr>
          <w:rFonts w:hint="eastAsia" w:ascii="黑体" w:hAnsi="黑体" w:eastAsia="黑体" w:cs="黑体"/>
          <w:b/>
          <w:bCs/>
          <w:color w:val="006400"/>
          <w:sz w:val="32"/>
          <w:szCs w:val="32"/>
          <w:lang w:val="en-US" w:eastAsia="zh-CN"/>
        </w:rPr>
        <w:t>第一部分 年度概况</w:t>
      </w:r>
    </w:p>
    <w:p w14:paraId="4FFA186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（一）目标愿景和战略规划</w:t>
      </w:r>
    </w:p>
    <w:p w14:paraId="5B13FAA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方正楷体_GB2312" w:hAnsi="方正楷体_GB2312" w:eastAsia="方正楷体_GB2312" w:cs="方正楷体_GB2312"/>
          <w:b w:val="0"/>
          <w:bCs w:val="0"/>
          <w:color w:val="00B050"/>
          <w:sz w:val="32"/>
          <w:szCs w:val="32"/>
          <w:lang w:val="en-US" w:eastAsia="zh-CN"/>
        </w:rPr>
      </w:pPr>
      <w:r>
        <w:rPr>
          <w:rFonts w:hint="eastAsia" w:ascii="方正楷体_GB2312" w:hAnsi="方正楷体_GB2312" w:eastAsia="方正楷体_GB2312" w:cs="方正楷体_GB2312"/>
          <w:b w:val="0"/>
          <w:bCs w:val="0"/>
          <w:color w:val="00B050"/>
          <w:sz w:val="32"/>
          <w:szCs w:val="32"/>
        </w:rPr>
        <w:t>（二）</w:t>
      </w:r>
      <w:r>
        <w:rPr>
          <w:rFonts w:hint="eastAsia" w:ascii="方正楷体_GB2312" w:hAnsi="方正楷体_GB2312" w:eastAsia="方正楷体_GB2312" w:cs="方正楷体_GB2312"/>
          <w:b w:val="0"/>
          <w:bCs w:val="0"/>
          <w:color w:val="00B050"/>
          <w:sz w:val="32"/>
          <w:szCs w:val="32"/>
          <w:lang w:val="en-US" w:eastAsia="zh-CN"/>
        </w:rPr>
        <w:t>政策行动</w:t>
      </w:r>
    </w:p>
    <w:p w14:paraId="4809D0ED">
      <w:pPr>
        <w:rPr>
          <w:rFonts w:hint="eastAsia" w:ascii="黑体" w:hAnsi="黑体" w:eastAsia="黑体" w:cs="黑体"/>
          <w:b/>
          <w:bCs/>
          <w:color w:val="00B050"/>
          <w:sz w:val="32"/>
          <w:szCs w:val="32"/>
        </w:rPr>
      </w:pPr>
      <w:r>
        <w:rPr>
          <w:rFonts w:hint="eastAsia" w:ascii="黑体" w:hAnsi="黑体" w:eastAsia="黑体" w:cs="黑体"/>
          <w:b/>
          <w:bCs/>
          <w:color w:val="006400"/>
          <w:sz w:val="32"/>
          <w:szCs w:val="32"/>
          <w:lang w:val="en-US" w:eastAsia="zh-CN"/>
        </w:rPr>
        <w:t>第二部分 环境（Environmental）</w:t>
      </w:r>
    </w:p>
    <w:p w14:paraId="0B119B7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（一）绿色金融产品与服务</w:t>
      </w:r>
    </w:p>
    <w:p w14:paraId="3E8C6CE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（二）环境风险管理</w:t>
      </w:r>
    </w:p>
    <w:p w14:paraId="49C4EC5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（三）资源利用与节能减排</w:t>
      </w:r>
    </w:p>
    <w:p w14:paraId="12D3D504">
      <w:pPr>
        <w:rPr>
          <w:rFonts w:hint="eastAsia" w:ascii="黑体" w:hAnsi="黑体" w:eastAsia="黑体" w:cs="黑体"/>
          <w:b/>
          <w:bCs/>
          <w:color w:val="006400"/>
          <w:sz w:val="32"/>
          <w:szCs w:val="32"/>
        </w:rPr>
      </w:pPr>
      <w:r>
        <w:rPr>
          <w:rFonts w:hint="eastAsia" w:ascii="黑体" w:hAnsi="黑体" w:eastAsia="黑体" w:cs="黑体"/>
          <w:b/>
          <w:bCs/>
          <w:color w:val="006400"/>
          <w:sz w:val="32"/>
          <w:szCs w:val="32"/>
          <w:lang w:val="en-US" w:eastAsia="zh-CN"/>
        </w:rPr>
        <w:t>第三部分 社会责任（Social）</w:t>
      </w:r>
    </w:p>
    <w:p w14:paraId="4DC1311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（一）客户服务</w:t>
      </w:r>
    </w:p>
    <w:p w14:paraId="2694433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（二）员工发展</w:t>
      </w:r>
    </w:p>
    <w:p w14:paraId="6CBE1E1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（三）社区参与</w:t>
      </w:r>
    </w:p>
    <w:p w14:paraId="361CB376">
      <w:pPr>
        <w:rPr>
          <w:rFonts w:hint="eastAsia" w:ascii="黑体" w:hAnsi="黑体" w:eastAsia="黑体" w:cs="黑体"/>
          <w:b/>
          <w:bCs/>
          <w:color w:val="00B050"/>
          <w:sz w:val="32"/>
          <w:szCs w:val="32"/>
        </w:rPr>
      </w:pPr>
      <w:r>
        <w:rPr>
          <w:rFonts w:hint="eastAsia" w:ascii="黑体" w:hAnsi="黑体" w:eastAsia="黑体" w:cs="黑体"/>
          <w:b/>
          <w:bCs/>
          <w:color w:val="006400"/>
          <w:sz w:val="32"/>
          <w:szCs w:val="32"/>
          <w:lang w:val="en-US" w:eastAsia="zh-CN"/>
        </w:rPr>
        <w:t xml:space="preserve">第四部分 </w:t>
      </w:r>
      <w:r>
        <w:rPr>
          <w:rFonts w:hint="eastAsia" w:ascii="黑体" w:hAnsi="黑体" w:eastAsia="黑体" w:cs="黑体"/>
          <w:b/>
          <w:bCs/>
          <w:color w:val="006400"/>
          <w:sz w:val="32"/>
          <w:szCs w:val="32"/>
        </w:rPr>
        <w:t>公司治理（Governance）</w:t>
      </w:r>
    </w:p>
    <w:p w14:paraId="3CA8EE4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（一）公司治理结构</w:t>
      </w:r>
    </w:p>
    <w:p w14:paraId="05657B5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（二）风险管理</w:t>
      </w:r>
    </w:p>
    <w:p w14:paraId="14EE0AA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2312" w:hAnsi="方正楷体_GB2312" w:eastAsia="方正楷体_GB2312" w:cs="方正楷体_GB2312"/>
          <w:b w:val="0"/>
          <w:bCs w:val="0"/>
          <w:color w:val="00B050"/>
          <w:sz w:val="32"/>
          <w:szCs w:val="32"/>
        </w:rPr>
      </w:pPr>
      <w:r>
        <w:rPr>
          <w:rFonts w:hint="eastAsia" w:ascii="方正楷体_GB2312" w:hAnsi="方正楷体_GB2312" w:eastAsia="方正楷体_GB2312" w:cs="方正楷体_GB2312"/>
          <w:b w:val="0"/>
          <w:bCs w:val="0"/>
          <w:color w:val="00B050"/>
          <w:sz w:val="32"/>
          <w:szCs w:val="32"/>
        </w:rPr>
        <w:t>（三）信息披露</w:t>
      </w:r>
    </w:p>
    <w:p w14:paraId="31E8162E">
      <w:pPr>
        <w:rPr>
          <w:rFonts w:hint="default" w:ascii="黑体" w:hAnsi="黑体" w:eastAsia="黑体" w:cs="黑体"/>
          <w:b/>
          <w:bCs/>
          <w:color w:val="006400"/>
          <w:sz w:val="32"/>
          <w:szCs w:val="32"/>
          <w:lang w:val="en-US" w:eastAsia="zh-CN"/>
        </w:rPr>
      </w:pPr>
      <w:r>
        <w:rPr>
          <w:rFonts w:hint="eastAsia" w:ascii="黑体" w:hAnsi="黑体" w:eastAsia="黑体" w:cs="黑体"/>
          <w:b/>
          <w:bCs/>
          <w:color w:val="006400"/>
          <w:sz w:val="32"/>
          <w:szCs w:val="32"/>
          <w:lang w:val="en-US" w:eastAsia="zh-CN"/>
        </w:rPr>
        <w:t>第五部分 未来展望</w:t>
      </w:r>
    </w:p>
    <w:p w14:paraId="7B96B003">
      <w:pPr>
        <w:rPr>
          <w:rFonts w:hint="eastAsia" w:ascii="黑体" w:hAnsi="黑体" w:eastAsia="黑体" w:cs="黑体"/>
          <w:b/>
          <w:bCs/>
          <w:sz w:val="32"/>
          <w:szCs w:val="32"/>
        </w:rPr>
      </w:pPr>
    </w:p>
    <w:p w14:paraId="29FE8F0F">
      <w:pPr>
        <w:rPr>
          <w:rFonts w:hint="eastAsia" w:ascii="黑体" w:hAnsi="黑体" w:eastAsia="黑体" w:cs="黑体"/>
          <w:b/>
          <w:bCs/>
          <w:sz w:val="32"/>
          <w:szCs w:val="32"/>
        </w:rPr>
      </w:pPr>
    </w:p>
    <w:p w14:paraId="4FFB933B">
      <w:pPr>
        <w:rPr>
          <w:rFonts w:hint="eastAsia" w:ascii="黑体" w:hAnsi="黑体" w:eastAsia="黑体" w:cs="黑体"/>
          <w:b/>
          <w:bCs/>
          <w:sz w:val="32"/>
          <w:szCs w:val="32"/>
        </w:rPr>
      </w:pPr>
      <w:r>
        <w:rPr>
          <w:rFonts w:hint="eastAsia" w:ascii="黑体" w:hAnsi="黑体" w:eastAsia="黑体" w:cs="黑体"/>
          <w:b/>
          <w:bCs/>
          <w:sz w:val="32"/>
          <w:szCs w:val="32"/>
        </w:rPr>
        <w:br w:type="page"/>
      </w:r>
    </w:p>
    <w:p w14:paraId="375AE96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rPr>
      </w:pPr>
      <w:r>
        <w:rPr>
          <w:rFonts w:hint="eastAsia" w:ascii="黑体" w:hAnsi="黑体" w:eastAsia="黑体" w:cs="黑体"/>
          <w:b/>
          <w:bCs/>
          <w:color w:val="006400"/>
          <w:sz w:val="32"/>
          <w:szCs w:val="32"/>
          <w:lang w:val="en-US" w:eastAsia="zh-CN"/>
        </w:rPr>
        <w:t>第一部分 年度概况</w:t>
      </w:r>
    </w:p>
    <w:p w14:paraId="2161B55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74B0D5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浙江龙游农村商业银行股份有限公司（简称龙游农商行）是一家服务于龙游地区的农村商业银行。</w:t>
      </w:r>
      <w:r>
        <w:rPr>
          <w:rFonts w:hint="eastAsia" w:ascii="仿宋_GB2312" w:hAnsi="仿宋_GB2312" w:eastAsia="仿宋_GB2312" w:cs="仿宋_GB2312"/>
          <w:sz w:val="32"/>
          <w:szCs w:val="32"/>
          <w:lang w:val="en-US" w:eastAsia="zh-CN"/>
        </w:rPr>
        <w:t>我</w:t>
      </w:r>
      <w:r>
        <w:rPr>
          <w:rFonts w:hint="eastAsia" w:ascii="仿宋_GB2312" w:hAnsi="仿宋_GB2312" w:eastAsia="仿宋_GB2312" w:cs="仿宋_GB2312"/>
          <w:sz w:val="32"/>
          <w:szCs w:val="32"/>
        </w:rPr>
        <w:t>行秉持着可持续发展的理念，致力于在经济、环境和社会等方面发挥积极作用。</w:t>
      </w:r>
    </w:p>
    <w:p w14:paraId="60F648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6400"/>
          <w:sz w:val="32"/>
          <w:szCs w:val="32"/>
        </w:rPr>
      </w:pPr>
      <w:r>
        <w:rPr>
          <w:rFonts w:hint="eastAsia" w:ascii="仿宋_GB2312" w:hAnsi="仿宋_GB2312" w:eastAsia="仿宋_GB2312" w:cs="仿宋_GB2312"/>
          <w:sz w:val="32"/>
          <w:szCs w:val="32"/>
        </w:rPr>
        <w:t>在环境方面，龙游农商行积极推动绿色金融产品与服务的创新，加强环境风险管理，提高资源利用效率，减少碳排放。在社会责任方面，该行注重客户服务，关注员工发展，积极参与社区建设，努力为社会创造更大的价值。在公司治理方面，龙游农商行建立了健全的公司治理结构，加强风险管理，提高信息披露质量，确保公司的稳健运营。</w:t>
      </w:r>
    </w:p>
    <w:p w14:paraId="4BFFD0A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方正楷体_GB2312" w:hAnsi="方正楷体_GB2312" w:eastAsia="方正楷体_GB2312" w:cs="方正楷体_GB2312"/>
          <w:color w:val="006400"/>
          <w:sz w:val="32"/>
          <w:szCs w:val="32"/>
        </w:rPr>
      </w:pPr>
      <w:r>
        <w:rPr>
          <w:rFonts w:hint="eastAsia" w:ascii="方正楷体_GB2312" w:hAnsi="方正楷体_GB2312" w:eastAsia="方正楷体_GB2312" w:cs="方正楷体_GB2312"/>
          <w:color w:val="006400"/>
          <w:sz w:val="32"/>
          <w:szCs w:val="32"/>
          <w:lang w:eastAsia="zh-CN"/>
        </w:rPr>
        <w:t>（</w:t>
      </w:r>
      <w:r>
        <w:rPr>
          <w:rFonts w:hint="eastAsia" w:ascii="方正楷体_GB2312" w:hAnsi="方正楷体_GB2312" w:eastAsia="方正楷体_GB2312" w:cs="方正楷体_GB2312"/>
          <w:color w:val="006400"/>
          <w:sz w:val="32"/>
          <w:szCs w:val="32"/>
          <w:lang w:val="en-US" w:eastAsia="zh-CN"/>
        </w:rPr>
        <w:t>一）</w:t>
      </w:r>
      <w:r>
        <w:rPr>
          <w:rFonts w:hint="eastAsia" w:ascii="方正楷体_GB2312" w:hAnsi="方正楷体_GB2312" w:eastAsia="方正楷体_GB2312" w:cs="方正楷体_GB2312"/>
          <w:color w:val="006400"/>
          <w:sz w:val="32"/>
          <w:szCs w:val="32"/>
        </w:rPr>
        <w:t>目标愿景和战略规划</w:t>
      </w:r>
    </w:p>
    <w:p w14:paraId="374FD0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行将贯彻绿色发展理念与实施平台化服务战略相结合，借助衢州市作为全国首批绿色金融改革创新试验区的政策支持，积极探索具有区域特色绿色金融发展模式，以绿色金融为契机，推动龙游经济发展，壮大龙游绿色工业，做强龙游特色农业。</w:t>
      </w:r>
    </w:p>
    <w:p w14:paraId="100F9D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行将绿色金融发展提升至战略高度，成立绿色金融工作领导小组，专项推动绿色经济转型，每年制定绿色金融工作方案，逐步完善绿色金融制度框架体系；做大绿色金融总量，提升绿色金融支持地方经济高质量、可持续发展；培育绿色发展理念，加大绿色金融产品和服务创新，增强绿色金融可持续发展。</w:t>
      </w:r>
    </w:p>
    <w:p w14:paraId="2DBDF7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rPr>
      </w:pPr>
      <w:r>
        <w:rPr>
          <w:rFonts w:hint="eastAsia" w:ascii="方正楷体_GB2312" w:hAnsi="方正楷体_GB2312" w:eastAsia="方正楷体_GB2312" w:cs="方正楷体_GB2312"/>
          <w:color w:val="006400"/>
          <w:sz w:val="32"/>
          <w:szCs w:val="32"/>
          <w:lang w:eastAsia="zh-CN"/>
        </w:rPr>
        <w:t>（</w:t>
      </w:r>
      <w:r>
        <w:rPr>
          <w:rFonts w:hint="eastAsia" w:ascii="方正楷体_GB2312" w:hAnsi="方正楷体_GB2312" w:eastAsia="方正楷体_GB2312" w:cs="方正楷体_GB2312"/>
          <w:color w:val="006400"/>
          <w:sz w:val="32"/>
          <w:szCs w:val="32"/>
          <w:lang w:val="en-US" w:eastAsia="zh-CN"/>
        </w:rPr>
        <w:t>二）</w:t>
      </w:r>
      <w:r>
        <w:rPr>
          <w:rFonts w:hint="eastAsia" w:ascii="方正楷体_GB2312" w:hAnsi="方正楷体_GB2312" w:eastAsia="方正楷体_GB2312" w:cs="方正楷体_GB2312"/>
          <w:color w:val="006400"/>
          <w:sz w:val="32"/>
          <w:szCs w:val="32"/>
        </w:rPr>
        <w:t>政策行动</w:t>
      </w:r>
    </w:p>
    <w:p w14:paraId="34BEE4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为推行我行自身经营转型、提升可持续发展空间，进一步提高我行绿色金融服务覆盖率、可得性和满意度要求，制定了《浙江龙游农商银行绿色金融五年行动计划实施行动方案（2024-2028年）》</w:t>
      </w:r>
      <w:r>
        <w:rPr>
          <w:rFonts w:hint="eastAsia" w:ascii="仿宋_GB2312" w:hAnsi="仿宋_GB2312" w:eastAsia="仿宋_GB2312" w:cs="仿宋_GB2312"/>
          <w:sz w:val="32"/>
          <w:szCs w:val="32"/>
          <w:lang w:eastAsia="zh-CN"/>
        </w:rPr>
        <w:t>、《龙游农商银行ESG发展规划》、《龙游农商银行信贷客户环境、社会和治理（ESG）风险分类管理办法（试行）》</w:t>
      </w:r>
      <w:r>
        <w:rPr>
          <w:rFonts w:hint="eastAsia" w:ascii="仿宋_GB2312" w:hAnsi="仿宋_GB2312" w:eastAsia="仿宋_GB2312" w:cs="仿宋_GB2312"/>
          <w:sz w:val="32"/>
          <w:szCs w:val="32"/>
          <w:lang w:val="en-US" w:eastAsia="zh-CN"/>
        </w:rPr>
        <w:t>等文件</w:t>
      </w:r>
      <w:r>
        <w:rPr>
          <w:rFonts w:hint="eastAsia" w:ascii="仿宋_GB2312" w:hAnsi="仿宋_GB2312" w:eastAsia="仿宋_GB2312" w:cs="仿宋_GB2312"/>
          <w:sz w:val="32"/>
          <w:szCs w:val="32"/>
        </w:rPr>
        <w:t>。力争在新业态下不断提升我行环境、社会和治理表现。</w:t>
      </w:r>
    </w:p>
    <w:p w14:paraId="782845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我行在《浙江龙游农村商业银行关于推进绿色金融行动计划实施细则》的基础上，通过六大行动全方位推动绿色金融业务发展，即绿色信贷、绿色支付、绿色信用、绿色共享、绿色扶贫和绿色公益。</w:t>
      </w:r>
    </w:p>
    <w:p w14:paraId="566FB278">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sz w:val="32"/>
          <w:szCs w:val="32"/>
        </w:rPr>
      </w:pPr>
      <w:r>
        <w:rPr>
          <w:rFonts w:hint="eastAsia"/>
        </w:rPr>
        <w:drawing>
          <wp:anchor distT="0" distB="0" distL="0" distR="0" simplePos="0" relativeHeight="251678720" behindDoc="0" locked="0" layoutInCell="1" allowOverlap="1">
            <wp:simplePos x="0" y="0"/>
            <wp:positionH relativeFrom="column">
              <wp:posOffset>624840</wp:posOffset>
            </wp:positionH>
            <wp:positionV relativeFrom="paragraph">
              <wp:posOffset>67310</wp:posOffset>
            </wp:positionV>
            <wp:extent cx="3693795" cy="1976755"/>
            <wp:effectExtent l="0" t="0" r="0" b="23495"/>
            <wp:wrapTopAndBottom/>
            <wp:docPr id="10"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p>
    <w:p w14:paraId="67AAE92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sz w:val="32"/>
          <w:szCs w:val="32"/>
        </w:rPr>
      </w:pPr>
      <w:r>
        <w:rPr>
          <w:rFonts w:hint="eastAsia" w:ascii="黑体" w:hAnsi="黑体" w:eastAsia="黑体" w:cs="黑体"/>
          <w:b/>
          <w:bCs/>
          <w:color w:val="006400"/>
          <w:sz w:val="32"/>
          <w:szCs w:val="32"/>
        </w:rPr>
        <w:t>二、环境（E）</w:t>
      </w:r>
    </w:p>
    <w:p w14:paraId="26AA73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bCs/>
          <w:sz w:val="32"/>
          <w:szCs w:val="32"/>
        </w:rPr>
      </w:pPr>
      <w:r>
        <w:rPr>
          <w:rFonts w:hint="eastAsia" w:ascii="方正楷体_GB2312" w:hAnsi="方正楷体_GB2312" w:eastAsia="方正楷体_GB2312" w:cs="方正楷体_GB2312"/>
          <w:b w:val="0"/>
          <w:bCs w:val="0"/>
          <w:color w:val="006400"/>
          <w:sz w:val="32"/>
          <w:szCs w:val="32"/>
        </w:rPr>
        <w:t>（一）绿色金融产品与服务</w:t>
      </w:r>
    </w:p>
    <w:p w14:paraId="15260789">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绿色信贷</w:t>
      </w:r>
    </w:p>
    <w:p w14:paraId="49A0047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已制定绿色战略规划，每年确定绿色信贷目标，并将绿色信贷相关指标纳入季度、年度经营目标考核办法中。</w:t>
      </w:r>
    </w:p>
    <w:p w14:paraId="0022E4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color w:val="000000"/>
          <w:kern w:val="0"/>
          <w:sz w:val="32"/>
          <w:szCs w:val="32"/>
          <w:lang w:bidi="ar"/>
        </w:rPr>
      </w:pPr>
      <w:r>
        <w:rPr>
          <w:rFonts w:ascii="仿宋_GB2312" w:hAnsi="Times New Roman" w:eastAsia="仿宋_GB2312" w:cs="Times New Roman"/>
          <w:color w:val="000000"/>
          <w:kern w:val="0"/>
          <w:sz w:val="32"/>
          <w:szCs w:val="32"/>
          <w:lang w:bidi="ar"/>
        </w:rPr>
        <w:t>作为绿色金融试点机构，浙江龙游农村商业银行陆续推出绿色信贷产品10余种，并曾获得多个环境相关奖项</w:t>
      </w:r>
      <w:r>
        <w:rPr>
          <w:rFonts w:hint="eastAsia" w:ascii="仿宋_GB2312" w:hAnsi="Times New Roman" w:eastAsia="仿宋_GB2312" w:cs="Times New Roman"/>
          <w:color w:val="000000"/>
          <w:kern w:val="0"/>
          <w:sz w:val="32"/>
          <w:szCs w:val="32"/>
          <w:lang w:bidi="ar"/>
        </w:rPr>
        <w:t xml:space="preserve">,在前期绿色金融积累基础上，2024年，浙江龙游农村商业银行持续推进绿色信贷业务，至2024年12月末，我行人总行口径绿色贷款余额89.22亿元，比年初新增20.22亿元，增幅29.30%；占各项贷款比例42.38%，较年初增加7.32个百分点。 </w:t>
      </w:r>
    </w:p>
    <w:p w14:paraId="76862C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color w:val="000000"/>
          <w:kern w:val="0"/>
          <w:sz w:val="32"/>
          <w:szCs w:val="32"/>
          <w:lang w:bidi="ar"/>
        </w:rPr>
      </w:pPr>
      <w:r>
        <w:rPr>
          <w:rFonts w:hint="eastAsia" w:ascii="仿宋_GB2312" w:hAnsi="Times New Roman" w:eastAsia="仿宋_GB2312" w:cs="Times New Roman"/>
          <w:color w:val="000000"/>
          <w:kern w:val="0"/>
          <w:sz w:val="32"/>
          <w:szCs w:val="32"/>
          <w:lang w:bidi="ar"/>
        </w:rPr>
        <w:t>2024年，浙江龙游农村商业银行持续推进碳账户金融业务，2024年1-12月，我行累计发放碳金融贷款2000笔，31.80亿元，其中企业320笔，15亿元；个人1680笔，16.82亿元。</w:t>
      </w:r>
    </w:p>
    <w:p w14:paraId="4BB147C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Times New Roman" w:eastAsia="仿宋_GB2312" w:cs="Times New Roman"/>
          <w:color w:val="000000"/>
          <w:kern w:val="0"/>
          <w:sz w:val="32"/>
          <w:szCs w:val="32"/>
          <w:lang w:bidi="ar"/>
        </w:rPr>
        <w:t>除推进应用绿色金融产品外，浙江龙游农商行在减少经营活动的自然资源消耗和温室气体排放，以及降低投融资碳排放、推动投融资碳减排、提升“个人碳账户”碳减排方面取得一定成效。</w:t>
      </w:r>
    </w:p>
    <w:p w14:paraId="60643245">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信贷管理优化</w:t>
      </w:r>
    </w:p>
    <w:p w14:paraId="48F30C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制定了《绿色信贷内部控制管理办法 (试行)》、绿色信贷业务操作流程、绿色信贷管理办法 (试行) 等，优化了授信审批流程。在授信评审过程中实行环境影响评价一票否决制，目前对于两高一剩类企业不再新增。</w:t>
      </w:r>
    </w:p>
    <w:p w14:paraId="3F09CB61">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leftChars="0" w:hanging="42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机制建设</w:t>
      </w:r>
    </w:p>
    <w:p w14:paraId="061DB3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将企业环境违法违规信息等企业环境信息纳入金融信用信息基础数据库，建立了绿色信贷环境信息监测机制。</w:t>
      </w:r>
    </w:p>
    <w:p w14:paraId="54FA51AE">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420" w:leftChars="0" w:hanging="42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碳账户金融</w:t>
      </w:r>
    </w:p>
    <w:p w14:paraId="228664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印发了碳账户应用场景管理办法 (试行)、《绿色金融 碳金融五年行动计划（2022-2026年）》，将碳减排效益、碳价等指标纳入授信管理流程。</w:t>
      </w:r>
    </w:p>
    <w:p w14:paraId="06814DC5">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绿色债券</w:t>
      </w:r>
    </w:p>
    <w:p w14:paraId="1401F03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积极参与绿色债券市场，支持绿色产业发展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截至2024年末，绿色债券余额1997万元</w:t>
      </w:r>
      <w:r>
        <w:rPr>
          <w:rFonts w:hint="eastAsia" w:ascii="仿宋_GB2312" w:hAnsi="仿宋_GB2312" w:eastAsia="仿宋_GB2312" w:cs="仿宋_GB2312"/>
          <w:sz w:val="32"/>
          <w:szCs w:val="32"/>
        </w:rPr>
        <w:t>。</w:t>
      </w:r>
    </w:p>
    <w:p w14:paraId="1E23BC4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color w:val="006400"/>
          <w:sz w:val="32"/>
          <w:szCs w:val="32"/>
        </w:rPr>
      </w:pPr>
      <w:r>
        <w:rPr>
          <w:rFonts w:hint="eastAsia" w:ascii="楷体" w:hAnsi="楷体" w:eastAsia="楷体" w:cs="楷体"/>
          <w:b/>
          <w:bCs/>
          <w:color w:val="006400"/>
          <w:sz w:val="32"/>
          <w:szCs w:val="32"/>
        </w:rPr>
        <w:t>（二）环境风险管理</w:t>
      </w:r>
    </w:p>
    <w:p w14:paraId="1F9E7D43">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环境风险识别与评估</w:t>
      </w:r>
    </w:p>
    <w:p w14:paraId="5398D1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建立了环境风险识别与评估机制，定期对环境风险进行评估。</w:t>
      </w:r>
    </w:p>
    <w:p w14:paraId="38848A06">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环境风险监测与预警</w:t>
      </w:r>
    </w:p>
    <w:p w14:paraId="5EC3147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加强对环境风险的监测与预警，及时发现和处置环境风险事件。</w:t>
      </w:r>
    </w:p>
    <w:p w14:paraId="2347066E">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环境风险应对与处置</w:t>
      </w:r>
    </w:p>
    <w:p w14:paraId="0A6F00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制定了环境风险应对与处置预案，提高环境风险应对能力。</w:t>
      </w:r>
    </w:p>
    <w:p w14:paraId="5354B092">
      <w:pPr>
        <w:widowControl/>
        <w:spacing w:line="560" w:lineRule="exact"/>
        <w:ind w:firstLine="640" w:firstLineChars="200"/>
        <w:rPr>
          <w:rFonts w:ascii="仿宋_GB2312" w:hAnsi="Times New Roman" w:eastAsia="仿宋_GB2312" w:cs="Times New Roman"/>
          <w:color w:val="000000"/>
          <w:kern w:val="0"/>
          <w:sz w:val="32"/>
          <w:szCs w:val="32"/>
          <w:lang w:bidi="ar"/>
        </w:rPr>
      </w:pPr>
      <w:r>
        <w:rPr>
          <w:rFonts w:hint="eastAsia" w:ascii="仿宋_GB2312" w:hAnsi="Times New Roman" w:eastAsia="仿宋_GB2312" w:cs="Times New Roman"/>
          <w:color w:val="000000"/>
          <w:kern w:val="0"/>
          <w:sz w:val="32"/>
          <w:szCs w:val="32"/>
          <w:lang w:bidi="ar"/>
        </w:rPr>
        <w:t>本行制定《</w:t>
      </w:r>
      <w:bookmarkStart w:id="0" w:name="_Hlk95747203"/>
      <w:r>
        <w:rPr>
          <w:rFonts w:hint="eastAsia" w:ascii="仿宋_GB2312" w:hAnsi="Times New Roman" w:eastAsia="仿宋_GB2312" w:cs="Times New Roman"/>
          <w:color w:val="000000"/>
          <w:kern w:val="0"/>
          <w:sz w:val="32"/>
          <w:szCs w:val="32"/>
          <w:lang w:bidi="ar"/>
        </w:rPr>
        <w:t>浙江龙游农商银行</w:t>
      </w:r>
      <w:bookmarkEnd w:id="0"/>
      <w:r>
        <w:rPr>
          <w:rFonts w:hint="eastAsia" w:ascii="仿宋_GB2312" w:hAnsi="Times New Roman" w:eastAsia="仿宋_GB2312" w:cs="Times New Roman"/>
          <w:color w:val="000000"/>
          <w:kern w:val="0"/>
          <w:sz w:val="32"/>
          <w:szCs w:val="32"/>
          <w:lang w:bidi="ar"/>
        </w:rPr>
        <w:t>关于印发信贷客户环境和社会风险分类管理办法</w:t>
      </w:r>
      <w:r>
        <w:rPr>
          <w:rFonts w:ascii="仿宋_GB2312" w:hAnsi="Times New Roman" w:eastAsia="仿宋_GB2312" w:cs="Times New Roman"/>
          <w:color w:val="000000"/>
          <w:kern w:val="0"/>
          <w:sz w:val="32"/>
          <w:szCs w:val="32"/>
          <w:lang w:bidi="ar"/>
        </w:rPr>
        <w:t>(试行)</w:t>
      </w:r>
      <w:r>
        <w:rPr>
          <w:rFonts w:hint="eastAsia" w:ascii="仿宋_GB2312" w:hAnsi="Times New Roman" w:eastAsia="仿宋_GB2312" w:cs="Times New Roman"/>
          <w:color w:val="000000"/>
          <w:kern w:val="0"/>
          <w:sz w:val="32"/>
          <w:szCs w:val="32"/>
          <w:lang w:bidi="ar"/>
        </w:rPr>
        <w:t>》政策，分析客户对环境的影响程度及客户面临的环境和社会风险高低，对信贷客户主体所从事业务、环境和社会方面的综合行为表现进行评估，实现对信贷客户进行综合评分及等级划分，评估等级共分为</w:t>
      </w:r>
      <w:r>
        <w:rPr>
          <w:rFonts w:ascii="仿宋_GB2312" w:hAnsi="Times New Roman" w:eastAsia="仿宋_GB2312" w:cs="Times New Roman"/>
          <w:color w:val="000000"/>
          <w:kern w:val="0"/>
          <w:sz w:val="32"/>
          <w:szCs w:val="32"/>
          <w:lang w:bidi="ar"/>
        </w:rPr>
        <w:t>为</w:t>
      </w:r>
      <w:bookmarkStart w:id="1" w:name="_Hlk96701347"/>
      <w:r>
        <w:rPr>
          <w:rFonts w:ascii="仿宋_GB2312" w:hAnsi="Times New Roman" w:eastAsia="仿宋_GB2312" w:cs="Times New Roman"/>
          <w:color w:val="000000"/>
          <w:kern w:val="0"/>
          <w:sz w:val="32"/>
          <w:szCs w:val="32"/>
          <w:lang w:bidi="ar"/>
        </w:rPr>
        <w:t>I级、II级、III级和IV</w:t>
      </w:r>
      <w:bookmarkEnd w:id="1"/>
      <w:r>
        <w:rPr>
          <w:rFonts w:ascii="仿宋_GB2312" w:hAnsi="Times New Roman" w:eastAsia="仿宋_GB2312" w:cs="Times New Roman"/>
          <w:color w:val="000000"/>
          <w:kern w:val="0"/>
          <w:sz w:val="32"/>
          <w:szCs w:val="32"/>
          <w:lang w:bidi="ar"/>
        </w:rPr>
        <w:t>级，环境风险依次增高。</w:t>
      </w:r>
    </w:p>
    <w:p w14:paraId="6DDA0B84">
      <w:pPr>
        <w:widowControl/>
        <w:spacing w:line="560" w:lineRule="exact"/>
        <w:ind w:firstLine="640" w:firstLineChars="200"/>
        <w:rPr>
          <w:rFonts w:hint="eastAsia" w:ascii="Times New Roman" w:hAnsi="Times New Roman" w:eastAsia="仿宋_GB2312" w:cstheme="minorEastAsia"/>
          <w:sz w:val="24"/>
          <w:lang w:val="en-US" w:eastAsia="zh-CN"/>
        </w:rPr>
      </w:pPr>
      <w:r>
        <w:rPr>
          <w:rFonts w:hint="eastAsia" w:ascii="仿宋_GB2312" w:hAnsi="Times New Roman" w:eastAsia="仿宋_GB2312" w:cs="Times New Roman"/>
          <w:color w:val="000000"/>
          <w:kern w:val="0"/>
          <w:sz w:val="32"/>
          <w:szCs w:val="32"/>
          <w:lang w:bidi="ar"/>
        </w:rPr>
        <w:t>我行信贷客户环境风险评估结果等级共分为四个等级，具体等级符号、相关定义详见</w:t>
      </w:r>
      <w:r>
        <w:rPr>
          <w:rFonts w:hint="eastAsia" w:ascii="仿宋_GB2312" w:hAnsi="Times New Roman" w:eastAsia="仿宋_GB2312" w:cs="Times New Roman"/>
          <w:color w:val="000000"/>
          <w:kern w:val="0"/>
          <w:sz w:val="32"/>
          <w:szCs w:val="32"/>
          <w:lang w:val="en-US" w:eastAsia="zh-CN" w:bidi="ar"/>
        </w:rPr>
        <w:t>下表</w:t>
      </w:r>
    </w:p>
    <w:p w14:paraId="360855EF">
      <w:pPr>
        <w:pStyle w:val="11"/>
        <w:rPr>
          <w:rFonts w:ascii="Times New Roman" w:hAnsi="Times New Roman"/>
        </w:rPr>
      </w:pPr>
      <w:r>
        <w:rPr>
          <w:rFonts w:hint="eastAsia" w:ascii="Times New Roman" w:hAnsi="Times New Roman" w:cs="宋体"/>
        </w:rPr>
        <w:t>信贷客户环境风险评价体系符号及定义</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8"/>
        <w:gridCol w:w="3664"/>
      </w:tblGrid>
      <w:tr w14:paraId="62AC6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1278" w:type="dxa"/>
            <w:shd w:val="clear" w:color="auto" w:fill="EF939E" w:themeFill="accent6" w:themeFillTint="99"/>
            <w:vAlign w:val="center"/>
          </w:tcPr>
          <w:p w14:paraId="50046277">
            <w:pPr>
              <w:jc w:val="center"/>
              <w:rPr>
                <w:rFonts w:ascii="宋体" w:hAnsi="宋体"/>
                <w:b/>
                <w:bCs/>
                <w:szCs w:val="21"/>
              </w:rPr>
            </w:pPr>
            <w:r>
              <w:rPr>
                <w:rFonts w:hint="eastAsia" w:ascii="宋体" w:hAnsi="宋体"/>
                <w:b/>
                <w:bCs/>
                <w:szCs w:val="21"/>
              </w:rPr>
              <w:t>等级</w:t>
            </w:r>
          </w:p>
        </w:tc>
        <w:tc>
          <w:tcPr>
            <w:tcW w:w="3664" w:type="dxa"/>
            <w:shd w:val="clear" w:color="auto" w:fill="EF939E" w:themeFill="accent6" w:themeFillTint="99"/>
            <w:vAlign w:val="center"/>
          </w:tcPr>
          <w:p w14:paraId="1E535C9B">
            <w:pPr>
              <w:jc w:val="center"/>
              <w:rPr>
                <w:rFonts w:ascii="宋体" w:hAnsi="宋体"/>
                <w:b/>
                <w:bCs/>
                <w:szCs w:val="21"/>
              </w:rPr>
            </w:pPr>
            <w:r>
              <w:rPr>
                <w:rFonts w:hint="eastAsia" w:ascii="宋体" w:hAnsi="宋体"/>
                <w:b/>
                <w:bCs/>
                <w:szCs w:val="21"/>
              </w:rPr>
              <w:t>表现</w:t>
            </w:r>
          </w:p>
        </w:tc>
      </w:tr>
      <w:tr w14:paraId="65354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1278" w:type="dxa"/>
            <w:vAlign w:val="center"/>
          </w:tcPr>
          <w:p w14:paraId="23082C30">
            <w:pPr>
              <w:jc w:val="center"/>
              <w:rPr>
                <w:rFonts w:ascii="宋体" w:hAnsi="宋体"/>
                <w:b/>
                <w:bCs/>
                <w:szCs w:val="21"/>
              </w:rPr>
            </w:pPr>
            <w:r>
              <w:rPr>
                <w:rFonts w:ascii="宋体" w:hAnsi="宋体"/>
                <w:b/>
                <w:bCs/>
                <w:szCs w:val="21"/>
              </w:rPr>
              <w:t>I级</w:t>
            </w:r>
          </w:p>
        </w:tc>
        <w:tc>
          <w:tcPr>
            <w:tcW w:w="3664" w:type="dxa"/>
          </w:tcPr>
          <w:p w14:paraId="2272EB76">
            <w:pPr>
              <w:ind w:firstLine="420" w:firstLineChars="200"/>
              <w:rPr>
                <w:rFonts w:ascii="宋体" w:hAnsi="宋体"/>
                <w:szCs w:val="21"/>
              </w:rPr>
            </w:pPr>
            <w:r>
              <w:rPr>
                <w:rFonts w:hint="eastAsia" w:ascii="宋体" w:hAnsi="宋体"/>
                <w:szCs w:val="21"/>
              </w:rPr>
              <w:t>信贷客户环境风险很小，在产业表现、环境表现和社会表现中的风险程度很低。</w:t>
            </w:r>
          </w:p>
        </w:tc>
      </w:tr>
      <w:tr w14:paraId="1C0AC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278" w:type="dxa"/>
            <w:shd w:val="clear" w:color="auto" w:fill="F9DBDE" w:themeFill="accent6" w:themeFillTint="33"/>
            <w:vAlign w:val="center"/>
          </w:tcPr>
          <w:p w14:paraId="50A5BEDE">
            <w:pPr>
              <w:jc w:val="center"/>
              <w:rPr>
                <w:rFonts w:ascii="宋体" w:hAnsi="宋体"/>
                <w:b/>
                <w:bCs/>
                <w:szCs w:val="21"/>
              </w:rPr>
            </w:pPr>
            <w:r>
              <w:rPr>
                <w:rFonts w:ascii="宋体" w:hAnsi="宋体"/>
                <w:b/>
                <w:bCs/>
                <w:szCs w:val="21"/>
              </w:rPr>
              <w:t>II级</w:t>
            </w:r>
          </w:p>
        </w:tc>
        <w:tc>
          <w:tcPr>
            <w:tcW w:w="3664" w:type="dxa"/>
            <w:shd w:val="clear" w:color="auto" w:fill="F9DBDE" w:themeFill="accent6" w:themeFillTint="33"/>
          </w:tcPr>
          <w:p w14:paraId="73A2ED4F">
            <w:pPr>
              <w:ind w:firstLine="420" w:firstLineChars="200"/>
              <w:rPr>
                <w:rFonts w:ascii="宋体" w:hAnsi="宋体"/>
                <w:szCs w:val="21"/>
              </w:rPr>
            </w:pPr>
            <w:r>
              <w:rPr>
                <w:rFonts w:hint="eastAsia" w:ascii="宋体" w:hAnsi="宋体"/>
                <w:szCs w:val="21"/>
              </w:rPr>
              <w:t>业内信贷客户的环境风险较少，在产业表现、环境表现和社会表现中的风险程度较低。</w:t>
            </w:r>
          </w:p>
        </w:tc>
      </w:tr>
      <w:tr w14:paraId="27CF7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8" w:hRule="atLeast"/>
          <w:jc w:val="center"/>
        </w:trPr>
        <w:tc>
          <w:tcPr>
            <w:tcW w:w="1278" w:type="dxa"/>
            <w:vAlign w:val="center"/>
          </w:tcPr>
          <w:p w14:paraId="11726A00">
            <w:pPr>
              <w:jc w:val="center"/>
              <w:rPr>
                <w:rFonts w:ascii="宋体" w:hAnsi="宋体"/>
                <w:b/>
                <w:bCs/>
                <w:szCs w:val="21"/>
              </w:rPr>
            </w:pPr>
            <w:r>
              <w:rPr>
                <w:rFonts w:ascii="宋体" w:hAnsi="宋体"/>
                <w:b/>
                <w:bCs/>
                <w:szCs w:val="21"/>
              </w:rPr>
              <w:t>III级</w:t>
            </w:r>
          </w:p>
        </w:tc>
        <w:tc>
          <w:tcPr>
            <w:tcW w:w="3664" w:type="dxa"/>
          </w:tcPr>
          <w:p w14:paraId="43740121">
            <w:pPr>
              <w:ind w:firstLine="420" w:firstLineChars="200"/>
              <w:rPr>
                <w:rFonts w:ascii="宋体" w:hAnsi="宋体"/>
                <w:szCs w:val="21"/>
              </w:rPr>
            </w:pPr>
            <w:r>
              <w:rPr>
                <w:rFonts w:hint="eastAsia" w:ascii="宋体" w:hAnsi="宋体"/>
                <w:szCs w:val="21"/>
              </w:rPr>
              <w:t>业内信贷客户的环境风险较大，在产业表现、环境表现和社会表现中的风险程度较高。</w:t>
            </w:r>
          </w:p>
          <w:p w14:paraId="0643BC76">
            <w:pPr>
              <w:ind w:firstLine="420" w:firstLineChars="200"/>
              <w:rPr>
                <w:rFonts w:ascii="宋体" w:hAnsi="宋体"/>
                <w:szCs w:val="21"/>
              </w:rPr>
            </w:pPr>
          </w:p>
        </w:tc>
      </w:tr>
      <w:tr w14:paraId="31D29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6" w:hRule="atLeast"/>
          <w:jc w:val="center"/>
        </w:trPr>
        <w:tc>
          <w:tcPr>
            <w:tcW w:w="1278" w:type="dxa"/>
            <w:shd w:val="clear" w:color="auto" w:fill="F9DBDE" w:themeFill="accent6" w:themeFillTint="33"/>
            <w:vAlign w:val="center"/>
          </w:tcPr>
          <w:p w14:paraId="44B7E448">
            <w:pPr>
              <w:jc w:val="center"/>
              <w:rPr>
                <w:rFonts w:ascii="宋体" w:hAnsi="宋体"/>
                <w:b/>
                <w:bCs/>
                <w:szCs w:val="21"/>
              </w:rPr>
            </w:pPr>
            <w:r>
              <w:rPr>
                <w:rFonts w:ascii="宋体" w:hAnsi="宋体"/>
                <w:b/>
                <w:bCs/>
                <w:szCs w:val="21"/>
              </w:rPr>
              <w:t>IV级</w:t>
            </w:r>
          </w:p>
        </w:tc>
        <w:tc>
          <w:tcPr>
            <w:tcW w:w="3664" w:type="dxa"/>
            <w:shd w:val="clear" w:color="auto" w:fill="F9DBDE" w:themeFill="accent6" w:themeFillTint="33"/>
          </w:tcPr>
          <w:p w14:paraId="702EBA5A">
            <w:pPr>
              <w:ind w:firstLine="420" w:firstLineChars="200"/>
              <w:rPr>
                <w:rFonts w:ascii="宋体" w:hAnsi="宋体"/>
                <w:szCs w:val="21"/>
              </w:rPr>
            </w:pPr>
            <w:r>
              <w:rPr>
                <w:rFonts w:hint="eastAsia" w:ascii="宋体" w:hAnsi="宋体"/>
                <w:szCs w:val="21"/>
              </w:rPr>
              <w:t>业内信贷客户的环境风险很大，在产业表现、环境表现和社会表现中的风险程度很高。</w:t>
            </w:r>
          </w:p>
          <w:p w14:paraId="381D523E">
            <w:pPr>
              <w:ind w:firstLine="420" w:firstLineChars="200"/>
              <w:rPr>
                <w:rFonts w:ascii="宋体" w:hAnsi="宋体"/>
                <w:szCs w:val="21"/>
              </w:rPr>
            </w:pPr>
          </w:p>
        </w:tc>
      </w:tr>
    </w:tbl>
    <w:p w14:paraId="6D5A4905">
      <w:pPr>
        <w:pStyle w:val="2"/>
        <w:ind w:firstLine="480"/>
        <w:rPr>
          <w:lang w:eastAsia="zh-CN"/>
        </w:rPr>
      </w:pPr>
    </w:p>
    <w:p w14:paraId="05621AE4">
      <w:pPr>
        <w:widowControl/>
        <w:spacing w:line="560" w:lineRule="exact"/>
        <w:jc w:val="center"/>
        <w:rPr>
          <w:rFonts w:ascii="Times New Roman" w:hAnsi="Times New Roman" w:eastAsia="楷体" w:cs="Times New Roman"/>
          <w:color w:val="000000"/>
          <w:kern w:val="0"/>
          <w:sz w:val="28"/>
          <w:szCs w:val="28"/>
          <w:lang w:bidi="ar"/>
        </w:rPr>
      </w:pPr>
      <w:r>
        <w:rPr>
          <w:rFonts w:ascii="Times New Roman" w:hAnsi="Times New Roman" w:eastAsia="楷体" w:cs="Times New Roman"/>
          <w:color w:val="000000"/>
          <w:kern w:val="0"/>
          <w:sz w:val="28"/>
          <w:szCs w:val="28"/>
          <w:lang w:bidi="ar"/>
        </w:rPr>
        <w:t>金融机构环境政策制度情况表</w:t>
      </w:r>
    </w:p>
    <w:tbl>
      <w:tblPr>
        <w:tblStyle w:val="7"/>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529"/>
        <w:gridCol w:w="1114"/>
        <w:gridCol w:w="986"/>
        <w:gridCol w:w="2764"/>
        <w:gridCol w:w="887"/>
      </w:tblGrid>
      <w:tr w14:paraId="2243F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92D050"/>
            <w:vAlign w:val="center"/>
          </w:tcPr>
          <w:p w14:paraId="3EAC2985">
            <w:pPr>
              <w:widowControl/>
              <w:spacing w:line="560" w:lineRule="exact"/>
              <w:jc w:val="center"/>
              <w:rPr>
                <w:rFonts w:ascii="Times New Roman" w:hAnsi="Times New Roman" w:eastAsia="楷体" w:cs="Times New Roman"/>
                <w:color w:val="000000"/>
                <w:kern w:val="0"/>
                <w:sz w:val="22"/>
                <w:szCs w:val="22"/>
                <w:lang w:bidi="ar"/>
              </w:rPr>
            </w:pPr>
            <w:r>
              <w:rPr>
                <w:rFonts w:ascii="Times New Roman" w:hAnsi="Times New Roman" w:eastAsia="楷体" w:cs="Times New Roman"/>
                <w:color w:val="000000"/>
                <w:kern w:val="0"/>
                <w:sz w:val="22"/>
                <w:szCs w:val="22"/>
                <w:lang w:bidi="ar"/>
              </w:rPr>
              <w:t xml:space="preserve">文件名称 </w:t>
            </w:r>
          </w:p>
        </w:tc>
        <w:tc>
          <w:tcPr>
            <w:tcW w:w="1114" w:type="dxa"/>
            <w:tcBorders>
              <w:top w:val="single" w:color="auto" w:sz="4" w:space="0"/>
              <w:left w:val="single" w:color="auto" w:sz="4" w:space="0"/>
              <w:bottom w:val="single" w:color="auto" w:sz="4" w:space="0"/>
              <w:right w:val="single" w:color="auto" w:sz="4" w:space="0"/>
            </w:tcBorders>
            <w:shd w:val="clear" w:color="auto" w:fill="92D050"/>
            <w:vAlign w:val="center"/>
          </w:tcPr>
          <w:p w14:paraId="4FEEF802">
            <w:pPr>
              <w:widowControl/>
              <w:spacing w:line="560" w:lineRule="exact"/>
              <w:jc w:val="center"/>
              <w:rPr>
                <w:rFonts w:ascii="Times New Roman" w:hAnsi="Times New Roman" w:eastAsia="楷体" w:cs="Times New Roman"/>
                <w:color w:val="000000"/>
                <w:kern w:val="0"/>
                <w:sz w:val="22"/>
                <w:szCs w:val="22"/>
                <w:lang w:bidi="ar"/>
              </w:rPr>
            </w:pPr>
            <w:r>
              <w:rPr>
                <w:rFonts w:ascii="Times New Roman" w:hAnsi="Times New Roman" w:eastAsia="楷体" w:cs="Times New Roman"/>
                <w:color w:val="000000"/>
                <w:kern w:val="0"/>
                <w:sz w:val="22"/>
                <w:szCs w:val="22"/>
                <w:lang w:bidi="ar"/>
              </w:rPr>
              <w:t xml:space="preserve">发文字号 </w:t>
            </w:r>
          </w:p>
        </w:tc>
        <w:tc>
          <w:tcPr>
            <w:tcW w:w="986" w:type="dxa"/>
            <w:tcBorders>
              <w:top w:val="single" w:color="auto" w:sz="4" w:space="0"/>
              <w:left w:val="single" w:color="auto" w:sz="4" w:space="0"/>
              <w:bottom w:val="single" w:color="auto" w:sz="4" w:space="0"/>
              <w:right w:val="single" w:color="auto" w:sz="4" w:space="0"/>
            </w:tcBorders>
            <w:shd w:val="clear" w:color="auto" w:fill="92D050"/>
            <w:vAlign w:val="center"/>
          </w:tcPr>
          <w:p w14:paraId="7523054F">
            <w:pPr>
              <w:widowControl/>
              <w:spacing w:line="560" w:lineRule="exact"/>
              <w:jc w:val="center"/>
              <w:rPr>
                <w:rFonts w:ascii="Times New Roman" w:hAnsi="Times New Roman" w:eastAsia="楷体" w:cs="Times New Roman"/>
                <w:color w:val="000000"/>
                <w:kern w:val="0"/>
                <w:sz w:val="22"/>
                <w:szCs w:val="22"/>
                <w:lang w:bidi="ar"/>
              </w:rPr>
            </w:pPr>
            <w:r>
              <w:rPr>
                <w:rFonts w:ascii="Times New Roman" w:hAnsi="Times New Roman" w:eastAsia="楷体" w:cs="Times New Roman"/>
                <w:color w:val="000000"/>
                <w:kern w:val="0"/>
                <w:sz w:val="22"/>
                <w:szCs w:val="22"/>
                <w:lang w:bidi="ar"/>
              </w:rPr>
              <w:t xml:space="preserve">文件类型 </w:t>
            </w:r>
          </w:p>
        </w:tc>
        <w:tc>
          <w:tcPr>
            <w:tcW w:w="2764" w:type="dxa"/>
            <w:tcBorders>
              <w:top w:val="single" w:color="auto" w:sz="4" w:space="0"/>
              <w:left w:val="single" w:color="auto" w:sz="4" w:space="0"/>
              <w:bottom w:val="single" w:color="auto" w:sz="4" w:space="0"/>
              <w:right w:val="single" w:color="auto" w:sz="4" w:space="0"/>
            </w:tcBorders>
            <w:shd w:val="clear" w:color="auto" w:fill="92D050"/>
            <w:vAlign w:val="center"/>
          </w:tcPr>
          <w:p w14:paraId="15C7A367">
            <w:pPr>
              <w:widowControl/>
              <w:spacing w:line="560" w:lineRule="exact"/>
              <w:jc w:val="center"/>
              <w:rPr>
                <w:rFonts w:ascii="Times New Roman" w:hAnsi="Times New Roman" w:eastAsia="楷体" w:cs="Times New Roman"/>
                <w:color w:val="000000"/>
                <w:kern w:val="0"/>
                <w:sz w:val="22"/>
                <w:szCs w:val="22"/>
                <w:lang w:bidi="ar"/>
              </w:rPr>
            </w:pPr>
            <w:r>
              <w:rPr>
                <w:rFonts w:ascii="Times New Roman" w:hAnsi="Times New Roman" w:eastAsia="楷体" w:cs="Times New Roman"/>
                <w:color w:val="000000"/>
                <w:kern w:val="0"/>
                <w:sz w:val="22"/>
                <w:szCs w:val="22"/>
                <w:lang w:bidi="ar"/>
              </w:rPr>
              <w:t xml:space="preserve">文件主要内容 </w:t>
            </w:r>
          </w:p>
        </w:tc>
        <w:tc>
          <w:tcPr>
            <w:tcW w:w="887" w:type="dxa"/>
            <w:tcBorders>
              <w:top w:val="single" w:color="auto" w:sz="4" w:space="0"/>
              <w:left w:val="single" w:color="auto" w:sz="4" w:space="0"/>
              <w:bottom w:val="single" w:color="auto" w:sz="4" w:space="0"/>
              <w:right w:val="single" w:color="auto" w:sz="4" w:space="0"/>
            </w:tcBorders>
            <w:shd w:val="clear" w:color="auto" w:fill="92D050"/>
            <w:vAlign w:val="center"/>
          </w:tcPr>
          <w:p w14:paraId="43489511">
            <w:pPr>
              <w:widowControl/>
              <w:spacing w:line="560" w:lineRule="exact"/>
              <w:jc w:val="center"/>
              <w:rPr>
                <w:rFonts w:ascii="Times New Roman" w:hAnsi="Times New Roman" w:eastAsia="楷体" w:cs="Times New Roman"/>
                <w:color w:val="000000"/>
                <w:kern w:val="0"/>
                <w:sz w:val="22"/>
                <w:szCs w:val="22"/>
                <w:lang w:bidi="ar"/>
              </w:rPr>
            </w:pPr>
            <w:r>
              <w:rPr>
                <w:rFonts w:ascii="Times New Roman" w:hAnsi="Times New Roman" w:eastAsia="楷体" w:cs="Times New Roman"/>
                <w:color w:val="000000"/>
                <w:kern w:val="0"/>
                <w:sz w:val="22"/>
                <w:szCs w:val="22"/>
                <w:lang w:bidi="ar"/>
              </w:rPr>
              <w:t>备注</w:t>
            </w:r>
          </w:p>
        </w:tc>
      </w:tr>
      <w:tr w14:paraId="12F1C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auto"/>
            <w:vAlign w:val="center"/>
          </w:tcPr>
          <w:p w14:paraId="77104902">
            <w:pPr>
              <w:rPr>
                <w:color w:val="FFFFFF" w:themeColor="background1"/>
                <w14:textFill>
                  <w14:solidFill>
                    <w14:schemeClr w14:val="bg1"/>
                  </w14:solidFill>
                </w14:textFill>
              </w:rPr>
            </w:pPr>
            <w:r>
              <w:rPr>
                <w:b/>
                <w:bCs/>
                <w:lang w:val="zh-TW"/>
              </w:rPr>
              <w:t>《浙江龙游农商银行绿色金融五年行动计划</w:t>
            </w:r>
            <w:r>
              <w:rPr>
                <w:rFonts w:hint="eastAsia"/>
                <w:b/>
                <w:bCs/>
                <w:lang w:val="zh-TW"/>
              </w:rPr>
              <w:t>（</w:t>
            </w:r>
            <w:r>
              <w:rPr>
                <w:b/>
                <w:bCs/>
              </w:rPr>
              <w:t>2017—2021年）实施行动方案》</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14:paraId="6FFCA7F1">
            <w:r>
              <w:rPr>
                <w:lang w:val="zh-TW"/>
              </w:rPr>
              <w:t>龙农商银发【</w:t>
            </w:r>
            <w:r>
              <w:t>2017】286号</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14:paraId="0CF68A46">
            <w:r>
              <w:t>战略规划类</w:t>
            </w:r>
          </w:p>
        </w:tc>
        <w:tc>
          <w:tcPr>
            <w:tcW w:w="2764" w:type="dxa"/>
            <w:tcBorders>
              <w:top w:val="single" w:color="auto" w:sz="4" w:space="0"/>
              <w:left w:val="single" w:color="auto" w:sz="4" w:space="0"/>
              <w:bottom w:val="single" w:color="auto" w:sz="4" w:space="0"/>
              <w:right w:val="single" w:color="auto" w:sz="4" w:space="0"/>
            </w:tcBorders>
            <w:shd w:val="clear" w:color="auto" w:fill="auto"/>
            <w:vAlign w:val="center"/>
          </w:tcPr>
          <w:p w14:paraId="006680E2">
            <w:r>
              <w:rPr>
                <w:lang w:val="zh-TW"/>
              </w:rPr>
              <w:t>明确全行绿色金融五年战略规划和发展目标、工作措施，建立具有本行特色的绿色金融发展长效机制</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08F10A9D">
            <w:r>
              <w:rPr>
                <w:lang w:val="zh-TW"/>
              </w:rPr>
              <w:t>己建立</w:t>
            </w:r>
          </w:p>
        </w:tc>
      </w:tr>
      <w:tr w14:paraId="6158F8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682BDD4D">
            <w:pPr>
              <w:rPr>
                <w:color w:val="FFFFFF" w:themeColor="background1"/>
                <w14:textFill>
                  <w14:solidFill>
                    <w14:schemeClr w14:val="bg1"/>
                  </w14:solidFill>
                </w14:textFill>
              </w:rPr>
            </w:pPr>
            <w:r>
              <w:rPr>
                <w:b/>
                <w:bCs/>
              </w:rPr>
              <w:t>《浙江龙游农商银行绿色金融行动计划实施细则》</w:t>
            </w:r>
          </w:p>
        </w:tc>
        <w:tc>
          <w:tcPr>
            <w:tcW w:w="111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0632303D">
            <w:r>
              <w:rPr>
                <w:lang w:val="zh-TW"/>
              </w:rPr>
              <w:t>龙农商银发【</w:t>
            </w:r>
            <w:r>
              <w:t>2017】296号</w:t>
            </w:r>
          </w:p>
        </w:tc>
        <w:tc>
          <w:tcPr>
            <w:tcW w:w="98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387A227F">
            <w:r>
              <w:t>战略规划类</w:t>
            </w:r>
          </w:p>
        </w:tc>
        <w:tc>
          <w:tcPr>
            <w:tcW w:w="276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7DF60CDF">
            <w:r>
              <w:rPr>
                <w:rFonts w:hint="eastAsia"/>
                <w:lang w:val="zh-TW"/>
              </w:rPr>
              <w:t xml:space="preserve">通过公司治理、组织构架、业务和管理流程、营运机制、风险管理构建绿色金融体系，全面优化绿色金融服务及管理机制， </w:t>
            </w:r>
          </w:p>
        </w:tc>
        <w:tc>
          <w:tcPr>
            <w:tcW w:w="88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43F9CE37">
            <w:r>
              <w:rPr>
                <w:lang w:val="zh-TW"/>
              </w:rPr>
              <w:t>己建立</w:t>
            </w:r>
          </w:p>
        </w:tc>
      </w:tr>
      <w:tr w14:paraId="0FDD8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auto"/>
            <w:vAlign w:val="center"/>
          </w:tcPr>
          <w:p w14:paraId="7C2EF99C">
            <w:pPr>
              <w:rPr>
                <w:color w:val="FFFFFF" w:themeColor="background1"/>
                <w14:textFill>
                  <w14:solidFill>
                    <w14:schemeClr w14:val="bg1"/>
                  </w14:solidFill>
                </w14:textFill>
              </w:rPr>
            </w:pPr>
            <w:r>
              <w:rPr>
                <w:b/>
                <w:bCs/>
              </w:rPr>
              <w:t>《浙江龙游农商银行客户授信管理办法》</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14:paraId="60D560CF">
            <w:r>
              <w:rPr>
                <w:lang w:val="zh-TW"/>
              </w:rPr>
              <w:t>龙农商银发【</w:t>
            </w:r>
            <w:r>
              <w:t>2019】60号</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14:paraId="22CBB55A">
            <w:r>
              <w:rPr>
                <w:lang w:val="zh-TW"/>
              </w:rPr>
              <w:t>风险管理类</w:t>
            </w:r>
          </w:p>
        </w:tc>
        <w:tc>
          <w:tcPr>
            <w:tcW w:w="2764" w:type="dxa"/>
            <w:tcBorders>
              <w:top w:val="single" w:color="auto" w:sz="4" w:space="0"/>
              <w:left w:val="single" w:color="auto" w:sz="4" w:space="0"/>
              <w:bottom w:val="single" w:color="auto" w:sz="4" w:space="0"/>
              <w:right w:val="single" w:color="auto" w:sz="4" w:space="0"/>
            </w:tcBorders>
            <w:shd w:val="clear" w:color="auto" w:fill="auto"/>
            <w:vAlign w:val="center"/>
          </w:tcPr>
          <w:p w14:paraId="182258CE">
            <w:r>
              <w:t>规范我行统一授信制度，加强我行对信用风险、环境和社会风险的控制与管理，促进我行审慎经营和管理。</w:t>
            </w:r>
            <w:r>
              <w:rPr>
                <w:lang w:val="zh-TW"/>
              </w:rPr>
              <w:t xml:space="preserve"> </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5E1D7833">
            <w:r>
              <w:rPr>
                <w:lang w:val="zh-TW"/>
              </w:rPr>
              <w:t>己建立</w:t>
            </w:r>
          </w:p>
        </w:tc>
      </w:tr>
      <w:tr w14:paraId="023C2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07CE32CE">
            <w:pPr>
              <w:rPr>
                <w:color w:val="FFFFFF" w:themeColor="background1"/>
                <w14:textFill>
                  <w14:solidFill>
                    <w14:schemeClr w14:val="bg1"/>
                  </w14:solidFill>
                </w14:textFill>
              </w:rPr>
            </w:pPr>
            <w:r>
              <w:rPr>
                <w:b/>
                <w:bCs/>
              </w:rPr>
              <w:t>《浙江龙游农商银行信贷客户环境和社会风险分类管理办法（试行）》</w:t>
            </w:r>
          </w:p>
        </w:tc>
        <w:tc>
          <w:tcPr>
            <w:tcW w:w="111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102F2B15">
            <w:r>
              <w:rPr>
                <w:lang w:val="zh-TW"/>
              </w:rPr>
              <w:t>龙农商银发【</w:t>
            </w:r>
            <w:r>
              <w:t>2019】70号</w:t>
            </w:r>
          </w:p>
        </w:tc>
        <w:tc>
          <w:tcPr>
            <w:tcW w:w="98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6C97753A">
            <w:r>
              <w:rPr>
                <w:lang w:val="zh-TW"/>
              </w:rPr>
              <w:t>风险管理类</w:t>
            </w:r>
          </w:p>
        </w:tc>
        <w:tc>
          <w:tcPr>
            <w:tcW w:w="276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1F12EAAC">
            <w:r>
              <w:rPr>
                <w:rFonts w:hint="eastAsia"/>
                <w:lang w:val="zh-TW"/>
              </w:rPr>
              <w:t>根据客户对环境的影响程度及其面临环境和社会风险的高低分类，提升龙游农商行环境和社会风险识别能力，引导信贷资产结构绿色转型，控制环境和社会风险压力。</w:t>
            </w:r>
          </w:p>
        </w:tc>
        <w:tc>
          <w:tcPr>
            <w:tcW w:w="88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7E1AB8E6">
            <w:r>
              <w:rPr>
                <w:lang w:val="zh-TW"/>
              </w:rPr>
              <w:t>己建立</w:t>
            </w:r>
          </w:p>
        </w:tc>
      </w:tr>
      <w:tr w14:paraId="1F764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auto"/>
            <w:vAlign w:val="center"/>
          </w:tcPr>
          <w:p w14:paraId="554905C8">
            <w:pPr>
              <w:rPr>
                <w:color w:val="FFFFFF" w:themeColor="background1"/>
                <w14:textFill>
                  <w14:solidFill>
                    <w14:schemeClr w14:val="bg1"/>
                  </w14:solidFill>
                </w14:textFill>
              </w:rPr>
            </w:pPr>
            <w:r>
              <w:rPr>
                <w:b/>
                <w:bCs/>
              </w:rPr>
              <w:t>《浙江龙游农商银行绿色信贷内部控制管理办法（试行）》</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14:paraId="1FDA9AE1">
            <w:r>
              <w:rPr>
                <w:lang w:val="zh-TW"/>
              </w:rPr>
              <w:t>龙农商银发【</w:t>
            </w:r>
            <w:r>
              <w:t>2019】69号</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14:paraId="357EDDFC">
            <w:r>
              <w:rPr>
                <w:lang w:val="zh-TW"/>
              </w:rPr>
              <w:t>风险管理类</w:t>
            </w:r>
          </w:p>
        </w:tc>
        <w:tc>
          <w:tcPr>
            <w:tcW w:w="2764" w:type="dxa"/>
            <w:tcBorders>
              <w:top w:val="single" w:color="auto" w:sz="4" w:space="0"/>
              <w:left w:val="single" w:color="auto" w:sz="4" w:space="0"/>
              <w:bottom w:val="single" w:color="auto" w:sz="4" w:space="0"/>
              <w:right w:val="single" w:color="auto" w:sz="4" w:space="0"/>
            </w:tcBorders>
            <w:shd w:val="clear" w:color="auto" w:fill="auto"/>
            <w:vAlign w:val="center"/>
          </w:tcPr>
          <w:p w14:paraId="21C9279E">
            <w:r>
              <w:rPr>
                <w:lang w:val="zh-TW"/>
              </w:rPr>
              <w:t>促进我行建立和完善内部控制，加强我行信贷资产环境和社会风险事件发生，最大限度减少环境和社会风险事件造成的损失，更好的保障我行信贷资产安全</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27C95B67">
            <w:r>
              <w:rPr>
                <w:lang w:val="zh-TW"/>
              </w:rPr>
              <w:t>己建立</w:t>
            </w:r>
          </w:p>
        </w:tc>
      </w:tr>
      <w:tr w14:paraId="7D5ED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47994067">
            <w:pPr>
              <w:rPr>
                <w:color w:val="FFFFFF" w:themeColor="background1"/>
                <w14:textFill>
                  <w14:solidFill>
                    <w14:schemeClr w14:val="bg1"/>
                  </w14:solidFill>
                </w14:textFill>
              </w:rPr>
            </w:pPr>
            <w:r>
              <w:rPr>
                <w:b/>
                <w:bCs/>
              </w:rPr>
              <w:t>《浙江龙游农商银行绿色信贷管理办法（试行）》</w:t>
            </w:r>
          </w:p>
        </w:tc>
        <w:tc>
          <w:tcPr>
            <w:tcW w:w="111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598373A1">
            <w:r>
              <w:rPr>
                <w:lang w:val="zh-TW"/>
              </w:rPr>
              <w:t>龙农商银发【</w:t>
            </w:r>
            <w:r>
              <w:t>2019】68号</w:t>
            </w:r>
          </w:p>
        </w:tc>
        <w:tc>
          <w:tcPr>
            <w:tcW w:w="98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33E81A1B">
            <w:r>
              <w:rPr>
                <w:lang w:val="zh-TW"/>
              </w:rPr>
              <w:t>业务发展类</w:t>
            </w:r>
          </w:p>
        </w:tc>
        <w:tc>
          <w:tcPr>
            <w:tcW w:w="276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1ACEF73">
            <w:r>
              <w:rPr>
                <w:rFonts w:hint="eastAsia"/>
                <w:lang w:val="zh-TW"/>
              </w:rPr>
              <w:t>制定绿色信贷发展目标，批准实施绿色信贷的政策和程序。落实绿色信贷制度和政策，通过流程控制提高环境和社会风险识别、审查和防范应对能力。</w:t>
            </w:r>
          </w:p>
        </w:tc>
        <w:tc>
          <w:tcPr>
            <w:tcW w:w="88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34856E46">
            <w:r>
              <w:rPr>
                <w:lang w:val="zh-TW"/>
              </w:rPr>
              <w:t>己建立</w:t>
            </w:r>
          </w:p>
        </w:tc>
      </w:tr>
      <w:tr w14:paraId="42C0C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auto"/>
            <w:vAlign w:val="center"/>
          </w:tcPr>
          <w:p w14:paraId="2FE7DA98">
            <w:pPr>
              <w:rPr>
                <w:color w:val="FFFFFF" w:themeColor="background1"/>
                <w14:textFill>
                  <w14:solidFill>
                    <w14:schemeClr w14:val="bg1"/>
                  </w14:solidFill>
                </w14:textFill>
              </w:rPr>
            </w:pPr>
            <w:r>
              <w:rPr>
                <w:b/>
                <w:bCs/>
              </w:rPr>
              <w:t>《浙江龙游农商银行绿色贷款风险尽职免责管理办法》</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14:paraId="28834AE4">
            <w:r>
              <w:t>-</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14:paraId="7254752B">
            <w:r>
              <w:rPr>
                <w:lang w:val="zh-TW"/>
              </w:rPr>
              <w:t>风险管理类</w:t>
            </w:r>
          </w:p>
        </w:tc>
        <w:tc>
          <w:tcPr>
            <w:tcW w:w="2764" w:type="dxa"/>
            <w:tcBorders>
              <w:top w:val="single" w:color="auto" w:sz="4" w:space="0"/>
              <w:left w:val="single" w:color="auto" w:sz="4" w:space="0"/>
              <w:bottom w:val="single" w:color="auto" w:sz="4" w:space="0"/>
              <w:right w:val="single" w:color="auto" w:sz="4" w:space="0"/>
            </w:tcBorders>
            <w:shd w:val="clear" w:color="auto" w:fill="auto"/>
            <w:vAlign w:val="center"/>
          </w:tcPr>
          <w:p w14:paraId="681DBA23">
            <w:r>
              <w:t>合理界定绿色贷款风险责任，区别绿色贷款风险形成的主客观原因，提高信贷工作人员尽职意识和能力，加大绿色贷款投放力度。</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4971C706">
            <w:r>
              <w:rPr>
                <w:lang w:val="zh-TW"/>
              </w:rPr>
              <w:t>已建立</w:t>
            </w:r>
          </w:p>
        </w:tc>
      </w:tr>
      <w:tr w14:paraId="373D5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5F778249">
            <w:pPr>
              <w:rPr>
                <w:color w:val="FFFFFF" w:themeColor="background1"/>
                <w14:textFill>
                  <w14:solidFill>
                    <w14:schemeClr w14:val="bg1"/>
                  </w14:solidFill>
                </w14:textFill>
              </w:rPr>
            </w:pPr>
            <w:r>
              <w:rPr>
                <w:b/>
                <w:bCs/>
              </w:rPr>
              <w:t>《浙江龙游农商银行关于印发“幸福黄茶贷”贷款管理办法（试行）的通知》</w:t>
            </w:r>
          </w:p>
        </w:tc>
        <w:tc>
          <w:tcPr>
            <w:tcW w:w="111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32B63D67">
            <w:r>
              <w:rPr>
                <w:lang w:val="zh-TW"/>
              </w:rPr>
              <w:t>龙农商银发【</w:t>
            </w:r>
            <w:r>
              <w:t>2018】4号</w:t>
            </w:r>
          </w:p>
        </w:tc>
        <w:tc>
          <w:tcPr>
            <w:tcW w:w="98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DCCDA7A">
            <w:r>
              <w:rPr>
                <w:lang w:val="zh-TW"/>
              </w:rPr>
              <w:t>业务发展类</w:t>
            </w:r>
          </w:p>
        </w:tc>
        <w:tc>
          <w:tcPr>
            <w:tcW w:w="276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6BF62D3F">
            <w:r>
              <w:rPr>
                <w:rFonts w:hint="eastAsia"/>
                <w:lang w:val="zh-TW"/>
              </w:rPr>
              <w:t>加快“中黄3号”黄茶产业的顺利推进</w:t>
            </w:r>
            <w:r>
              <w:rPr>
                <w:lang w:val="zh-TW"/>
              </w:rPr>
              <w:t>，开发特色茶叶金融贷款产品，助力龙游地方经济产业发展和转型。</w:t>
            </w:r>
          </w:p>
        </w:tc>
        <w:tc>
          <w:tcPr>
            <w:tcW w:w="88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62546DED">
            <w:r>
              <w:rPr>
                <w:lang w:val="zh-TW"/>
              </w:rPr>
              <w:t>己建立</w:t>
            </w:r>
          </w:p>
        </w:tc>
      </w:tr>
      <w:tr w14:paraId="5E805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auto"/>
            <w:vAlign w:val="center"/>
          </w:tcPr>
          <w:p w14:paraId="62BB0EFE">
            <w:pPr>
              <w:rPr>
                <w:color w:val="FFFFFF" w:themeColor="background1"/>
                <w14:textFill>
                  <w14:solidFill>
                    <w14:schemeClr w14:val="bg1"/>
                  </w14:solidFill>
                </w14:textFill>
              </w:rPr>
            </w:pPr>
            <w:r>
              <w:rPr>
                <w:b/>
                <w:bCs/>
              </w:rPr>
              <w:t>《浙江龙游农商银行关于印发专利权质押贷款管理办法（试行）的通知》</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14:paraId="78070D93">
            <w:r>
              <w:t>龙农商银发</w:t>
            </w:r>
            <w:r>
              <w:rPr>
                <w:lang w:val="zh-TW"/>
              </w:rPr>
              <w:t>【</w:t>
            </w:r>
            <w:r>
              <w:t>2017】292号</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14:paraId="397EBD8C">
            <w:r>
              <w:rPr>
                <w:lang w:val="zh-TW"/>
              </w:rPr>
              <w:t>业务发展类</w:t>
            </w:r>
          </w:p>
        </w:tc>
        <w:tc>
          <w:tcPr>
            <w:tcW w:w="2764" w:type="dxa"/>
            <w:tcBorders>
              <w:top w:val="single" w:color="auto" w:sz="4" w:space="0"/>
              <w:left w:val="single" w:color="auto" w:sz="4" w:space="0"/>
              <w:bottom w:val="single" w:color="auto" w:sz="4" w:space="0"/>
              <w:right w:val="single" w:color="auto" w:sz="4" w:space="0"/>
            </w:tcBorders>
            <w:shd w:val="clear" w:color="auto" w:fill="auto"/>
            <w:vAlign w:val="center"/>
          </w:tcPr>
          <w:p w14:paraId="65F674BD">
            <w:r>
              <w:rPr>
                <w:lang w:val="zh-TW"/>
              </w:rPr>
              <w:t>结合龙游地方经济和产业特色，推动创新驱动发展战略落地，开发专利权质押贷款产品，促进龙游经济转型和产业升级。</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060B2F94">
            <w:r>
              <w:rPr>
                <w:lang w:val="zh-TW"/>
              </w:rPr>
              <w:t>己建立</w:t>
            </w:r>
          </w:p>
        </w:tc>
      </w:tr>
      <w:tr w14:paraId="48CBA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D8F35A0">
            <w:pPr>
              <w:rPr>
                <w:color w:val="FFFFFF" w:themeColor="background1"/>
                <w14:textFill>
                  <w14:solidFill>
                    <w14:schemeClr w14:val="bg1"/>
                  </w14:solidFill>
                </w14:textFill>
              </w:rPr>
            </w:pPr>
            <w:r>
              <w:rPr>
                <w:rFonts w:hint="eastAsia"/>
                <w:b/>
                <w:bCs/>
              </w:rPr>
              <w:t>《创新“绿色普惠”服务模式 打造绿色金改“龙游样版”》</w:t>
            </w:r>
            <w:r>
              <w:rPr>
                <w:rFonts w:hint="eastAsia"/>
                <w:b/>
                <w:bCs/>
              </w:rPr>
              <w:tab/>
            </w:r>
            <w:r>
              <w:rPr>
                <w:rFonts w:hint="eastAsia"/>
                <w:b/>
                <w:bCs/>
              </w:rPr>
              <w:tab/>
            </w:r>
          </w:p>
        </w:tc>
        <w:tc>
          <w:tcPr>
            <w:tcW w:w="111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3FDF3F9">
            <w:r>
              <w:rPr>
                <w:rFonts w:hint="eastAsia"/>
              </w:rPr>
              <w:t>-</w:t>
            </w:r>
          </w:p>
        </w:tc>
        <w:tc>
          <w:tcPr>
            <w:tcW w:w="98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19B006D3">
            <w:r>
              <w:rPr>
                <w:rFonts w:hint="eastAsia"/>
                <w:lang w:val="zh-TW"/>
              </w:rPr>
              <w:t>业务发展类</w:t>
            </w:r>
          </w:p>
        </w:tc>
        <w:tc>
          <w:tcPr>
            <w:tcW w:w="276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0D53B19">
            <w:r>
              <w:rPr>
                <w:lang w:val="zh-TW"/>
              </w:rPr>
              <w:t>精细化构建全流程绿色金融服务体系</w:t>
            </w:r>
            <w:r>
              <w:rPr>
                <w:rFonts w:hint="eastAsia"/>
                <w:lang w:val="zh-TW"/>
              </w:rPr>
              <w:t>，</w:t>
            </w:r>
            <w:r>
              <w:t>全方位实践生猪全生命周期绿色模式</w:t>
            </w:r>
            <w:r>
              <w:rPr>
                <w:rFonts w:hint="eastAsia"/>
                <w:lang w:val="zh-TW"/>
              </w:rPr>
              <w:t>，</w:t>
            </w:r>
            <w:r>
              <w:rPr>
                <w:lang w:val="zh-TW"/>
              </w:rPr>
              <w:t>深化实践“绿色循环贷”开启生猪粪污循环利用的“开启模式”</w:t>
            </w:r>
            <w:r>
              <w:rPr>
                <w:rFonts w:hint="eastAsia"/>
                <w:lang w:val="zh-TW"/>
              </w:rPr>
              <w:t>。</w:t>
            </w:r>
          </w:p>
        </w:tc>
        <w:tc>
          <w:tcPr>
            <w:tcW w:w="88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3F2A5A86">
            <w:r>
              <w:rPr>
                <w:rFonts w:hint="eastAsia"/>
                <w:lang w:val="zh-TW"/>
              </w:rPr>
              <w:t>已建立</w:t>
            </w:r>
          </w:p>
        </w:tc>
      </w:tr>
      <w:tr w14:paraId="537D1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auto"/>
            <w:vAlign w:val="center"/>
          </w:tcPr>
          <w:p w14:paraId="53C7E49A">
            <w:pPr>
              <w:rPr>
                <w:rFonts w:hint="eastAsia" w:asciiTheme="minorHAnsi" w:hAnsiTheme="minorHAnsi" w:eastAsiaTheme="minorEastAsia" w:cstheme="minorBidi"/>
                <w:b/>
                <w:bCs/>
                <w:color w:val="auto"/>
                <w:kern w:val="2"/>
                <w:sz w:val="21"/>
                <w:szCs w:val="24"/>
                <w:lang w:val="en-US" w:eastAsia="zh-CN" w:bidi="ar-SA"/>
              </w:rPr>
            </w:pPr>
            <w:r>
              <w:rPr>
                <w:rFonts w:hint="eastAsia"/>
                <w:b/>
                <w:bCs/>
                <w:color w:val="auto"/>
                <w:lang w:eastAsia="zh-CN"/>
              </w:rPr>
              <w:t>《</w:t>
            </w:r>
            <w:r>
              <w:rPr>
                <w:rFonts w:hint="eastAsia"/>
                <w:b/>
                <w:bCs/>
                <w:color w:val="auto"/>
              </w:rPr>
              <w:t>龙游农商银行信贷客户环境、社会和治理（ESG）风险分类管理办法（试行）</w:t>
            </w:r>
            <w:r>
              <w:rPr>
                <w:rFonts w:hint="eastAsia"/>
                <w:b/>
                <w:bCs/>
                <w:color w:val="auto"/>
                <w:lang w:eastAsia="zh-CN"/>
              </w:rPr>
              <w:t>》</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14:paraId="31D71CAF">
            <w:pPr>
              <w:rPr>
                <w:rFonts w:hint="eastAsia" w:asciiTheme="minorHAnsi" w:hAnsiTheme="minorHAnsi" w:eastAsiaTheme="minorEastAsia" w:cstheme="minorBidi"/>
                <w:kern w:val="2"/>
                <w:sz w:val="21"/>
                <w:szCs w:val="24"/>
                <w:lang w:val="en-US" w:eastAsia="zh-CN" w:bidi="ar-SA"/>
              </w:rPr>
            </w:pPr>
            <w:r>
              <w:t>龙农商银</w:t>
            </w:r>
            <w:r>
              <w:rPr>
                <w:rFonts w:hint="eastAsia"/>
                <w:lang w:val="en-US" w:eastAsia="zh-CN"/>
              </w:rPr>
              <w:t>办</w:t>
            </w:r>
            <w:r>
              <w:rPr>
                <w:lang w:val="zh-TW"/>
              </w:rPr>
              <w:t>【</w:t>
            </w:r>
            <w:r>
              <w:t>20</w:t>
            </w:r>
            <w:r>
              <w:rPr>
                <w:rFonts w:hint="eastAsia"/>
                <w:lang w:val="en-US" w:eastAsia="zh-CN"/>
              </w:rPr>
              <w:t>24</w:t>
            </w:r>
            <w:r>
              <w:t>】</w:t>
            </w:r>
            <w:r>
              <w:rPr>
                <w:rFonts w:hint="eastAsia"/>
                <w:lang w:val="en-US" w:eastAsia="zh-CN"/>
              </w:rPr>
              <w:t>71</w:t>
            </w:r>
            <w:r>
              <w:t>号</w:t>
            </w:r>
          </w:p>
        </w:tc>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14:paraId="1E6DE44E">
            <w:pPr>
              <w:rPr>
                <w:rFonts w:hint="eastAsia" w:asciiTheme="minorHAnsi" w:hAnsiTheme="minorHAnsi" w:eastAsiaTheme="minorEastAsia" w:cstheme="minorBidi"/>
                <w:kern w:val="2"/>
                <w:sz w:val="21"/>
                <w:szCs w:val="22"/>
                <w:lang w:val="zh-TW" w:eastAsia="zh-CN" w:bidi="ar-SA"/>
              </w:rPr>
            </w:pPr>
            <w:r>
              <w:rPr>
                <w:lang w:val="zh-TW"/>
              </w:rPr>
              <w:t>风险管理类</w:t>
            </w:r>
          </w:p>
        </w:tc>
        <w:tc>
          <w:tcPr>
            <w:tcW w:w="2764" w:type="dxa"/>
            <w:tcBorders>
              <w:top w:val="single" w:color="auto" w:sz="4" w:space="0"/>
              <w:left w:val="single" w:color="auto" w:sz="4" w:space="0"/>
              <w:bottom w:val="single" w:color="auto" w:sz="4" w:space="0"/>
              <w:right w:val="single" w:color="auto" w:sz="4" w:space="0"/>
            </w:tcBorders>
            <w:shd w:val="clear" w:color="auto" w:fill="auto"/>
            <w:vAlign w:val="center"/>
          </w:tcPr>
          <w:p w14:paraId="5144ED34">
            <w:pPr>
              <w:rPr>
                <w:rFonts w:asciiTheme="minorHAnsi" w:hAnsiTheme="minorHAnsi" w:eastAsiaTheme="minorEastAsia" w:cstheme="minorBidi"/>
                <w:kern w:val="2"/>
                <w:sz w:val="21"/>
                <w:szCs w:val="22"/>
                <w:lang w:val="zh-TW" w:eastAsia="zh-CN" w:bidi="ar-SA"/>
              </w:rPr>
            </w:pPr>
            <w:r>
              <w:rPr>
                <w:rFonts w:hint="eastAsia" w:asciiTheme="minorHAnsi" w:hAnsiTheme="minorHAnsi" w:eastAsiaTheme="minorEastAsia" w:cstheme="minorBidi"/>
                <w:kern w:val="2"/>
                <w:sz w:val="21"/>
                <w:szCs w:val="22"/>
                <w:lang w:val="zh-TW" w:eastAsia="zh-CN" w:bidi="ar-SA"/>
              </w:rPr>
              <w:t>通过全面收集、整理客户信息，综合分析其环境、社会和治理风险因素，对信贷客户进行风险等级划分，并针对不同风险等级采取相应风险控制措施的过程</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1C2AC7F0">
            <w:pPr>
              <w:rPr>
                <w:rFonts w:hint="eastAsia" w:asciiTheme="minorHAnsi" w:hAnsiTheme="minorHAnsi" w:eastAsiaTheme="minorEastAsia" w:cstheme="minorBidi"/>
                <w:kern w:val="2"/>
                <w:sz w:val="21"/>
                <w:szCs w:val="22"/>
                <w:lang w:val="zh-TW" w:eastAsia="zh-CN" w:bidi="ar-SA"/>
              </w:rPr>
            </w:pPr>
            <w:r>
              <w:rPr>
                <w:lang w:val="zh-TW"/>
              </w:rPr>
              <w:t>已建立</w:t>
            </w:r>
          </w:p>
        </w:tc>
      </w:tr>
      <w:tr w14:paraId="4295AF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29"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6B48F471">
            <w:pPr>
              <w:rPr>
                <w:rFonts w:hint="eastAsia" w:asciiTheme="minorHAnsi" w:hAnsiTheme="minorHAnsi" w:eastAsiaTheme="minorEastAsia" w:cstheme="minorBidi"/>
                <w:b/>
                <w:bCs/>
                <w:color w:val="auto"/>
                <w:kern w:val="2"/>
                <w:sz w:val="21"/>
                <w:szCs w:val="24"/>
                <w:lang w:val="en-US" w:eastAsia="zh-CN" w:bidi="ar-SA"/>
              </w:rPr>
            </w:pPr>
            <w:r>
              <w:rPr>
                <w:b/>
                <w:bCs/>
                <w:color w:val="auto"/>
                <w:lang w:val="zh-TW"/>
              </w:rPr>
              <w:t>《浙江龙游农商银行绿色金融五年行动计划</w:t>
            </w:r>
            <w:r>
              <w:rPr>
                <w:b/>
                <w:bCs/>
                <w:color w:val="auto"/>
              </w:rPr>
              <w:t>实施行动方案</w:t>
            </w:r>
            <w:r>
              <w:rPr>
                <w:rFonts w:hint="eastAsia"/>
                <w:b/>
                <w:bCs/>
                <w:color w:val="auto"/>
                <w:lang w:eastAsia="zh-CN"/>
              </w:rPr>
              <w:t>（</w:t>
            </w:r>
            <w:r>
              <w:rPr>
                <w:rFonts w:hint="eastAsia"/>
                <w:b/>
                <w:bCs/>
                <w:color w:val="auto"/>
                <w:lang w:val="en-US" w:eastAsia="zh-CN"/>
              </w:rPr>
              <w:t>2024-2028年</w:t>
            </w:r>
            <w:r>
              <w:rPr>
                <w:rFonts w:hint="eastAsia"/>
                <w:b/>
                <w:bCs/>
                <w:color w:val="auto"/>
                <w:lang w:eastAsia="zh-CN"/>
              </w:rPr>
              <w:t>）</w:t>
            </w:r>
            <w:r>
              <w:rPr>
                <w:b/>
                <w:bCs/>
                <w:color w:val="auto"/>
              </w:rPr>
              <w:t>》</w:t>
            </w:r>
          </w:p>
        </w:tc>
        <w:tc>
          <w:tcPr>
            <w:tcW w:w="111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17A6A629">
            <w:pPr>
              <w:rPr>
                <w:rFonts w:hint="eastAsia" w:asciiTheme="minorHAnsi" w:hAnsiTheme="minorHAnsi" w:eastAsiaTheme="minorEastAsia" w:cstheme="minorBidi"/>
                <w:kern w:val="2"/>
                <w:sz w:val="21"/>
                <w:szCs w:val="24"/>
                <w:lang w:val="en-US" w:eastAsia="zh-CN" w:bidi="ar-SA"/>
              </w:rPr>
            </w:pPr>
            <w:r>
              <w:t>龙农商银</w:t>
            </w:r>
            <w:r>
              <w:rPr>
                <w:rFonts w:hint="eastAsia"/>
                <w:lang w:val="en-US" w:eastAsia="zh-CN"/>
              </w:rPr>
              <w:t>办</w:t>
            </w:r>
            <w:r>
              <w:rPr>
                <w:lang w:val="zh-TW"/>
              </w:rPr>
              <w:t>【</w:t>
            </w:r>
            <w:r>
              <w:t>20</w:t>
            </w:r>
            <w:r>
              <w:rPr>
                <w:rFonts w:hint="eastAsia"/>
                <w:lang w:val="en-US" w:eastAsia="zh-CN"/>
              </w:rPr>
              <w:t>24</w:t>
            </w:r>
            <w:r>
              <w:t>】</w:t>
            </w:r>
            <w:r>
              <w:rPr>
                <w:rFonts w:hint="eastAsia"/>
                <w:lang w:val="en-US" w:eastAsia="zh-CN"/>
              </w:rPr>
              <w:t>99</w:t>
            </w:r>
            <w:r>
              <w:t>号</w:t>
            </w:r>
          </w:p>
        </w:tc>
        <w:tc>
          <w:tcPr>
            <w:tcW w:w="98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38A160C0">
            <w:pPr>
              <w:rPr>
                <w:rFonts w:hint="eastAsia" w:asciiTheme="minorHAnsi" w:hAnsiTheme="minorHAnsi" w:eastAsiaTheme="minorEastAsia" w:cstheme="minorBidi"/>
                <w:kern w:val="2"/>
                <w:sz w:val="21"/>
                <w:szCs w:val="22"/>
                <w:lang w:val="zh-TW" w:eastAsia="zh-CN" w:bidi="ar-SA"/>
              </w:rPr>
            </w:pPr>
            <w:r>
              <w:t>战略规划类</w:t>
            </w:r>
          </w:p>
        </w:tc>
        <w:tc>
          <w:tcPr>
            <w:tcW w:w="276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C50EDA2">
            <w:pPr>
              <w:rPr>
                <w:rFonts w:asciiTheme="minorHAnsi" w:hAnsiTheme="minorHAnsi" w:eastAsiaTheme="minorEastAsia" w:cstheme="minorBidi"/>
                <w:kern w:val="2"/>
                <w:sz w:val="21"/>
                <w:szCs w:val="22"/>
                <w:lang w:val="zh-TW" w:eastAsia="zh-CN" w:bidi="ar-SA"/>
              </w:rPr>
            </w:pPr>
            <w:r>
              <w:rPr>
                <w:lang w:val="zh-TW"/>
              </w:rPr>
              <w:t>明确全行绿色金融五年战略规划和发展目标、工作措施，建立具有本行特色的绿色金融发展长效机制</w:t>
            </w:r>
          </w:p>
        </w:tc>
        <w:tc>
          <w:tcPr>
            <w:tcW w:w="88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1A45E254">
            <w:pPr>
              <w:rPr>
                <w:rFonts w:hint="eastAsia" w:asciiTheme="minorHAnsi" w:hAnsiTheme="minorHAnsi" w:eastAsiaTheme="minorEastAsia" w:cstheme="minorBidi"/>
                <w:kern w:val="2"/>
                <w:sz w:val="21"/>
                <w:szCs w:val="22"/>
                <w:lang w:val="zh-TW" w:eastAsia="zh-CN" w:bidi="ar-SA"/>
              </w:rPr>
            </w:pPr>
            <w:r>
              <w:rPr>
                <w:lang w:val="zh-TW"/>
              </w:rPr>
              <w:t>己建立</w:t>
            </w:r>
          </w:p>
        </w:tc>
      </w:tr>
    </w:tbl>
    <w:p w14:paraId="2E7DC5BE">
      <w:pPr>
        <w:pStyle w:val="2"/>
        <w:rPr>
          <w:rFonts w:hint="eastAsia"/>
        </w:rPr>
      </w:pPr>
    </w:p>
    <w:p w14:paraId="3DDD30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bCs/>
          <w:sz w:val="32"/>
          <w:szCs w:val="32"/>
        </w:rPr>
      </w:pPr>
      <w:r>
        <w:rPr>
          <w:rFonts w:hint="eastAsia" w:ascii="方正楷体_GB2312" w:hAnsi="方正楷体_GB2312" w:eastAsia="方正楷体_GB2312" w:cs="方正楷体_GB2312"/>
          <w:b w:val="0"/>
          <w:bCs w:val="0"/>
          <w:color w:val="006400"/>
          <w:sz w:val="32"/>
          <w:szCs w:val="32"/>
        </w:rPr>
        <w:t>（三）资源利用与节能减排</w:t>
      </w:r>
    </w:p>
    <w:p w14:paraId="551F637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金融机构采取环保措施所产生的环境效益包括但不限于：</w:t>
      </w:r>
    </w:p>
    <w:p w14:paraId="4E6E8831">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绿色办公</w:t>
      </w:r>
    </w:p>
    <w:p w14:paraId="4847A97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开展线上业务、无纸化办公、建筑节能改造、鼓励员工选择公共交通工具等所节约或替代的资源和能源消耗。</w:t>
      </w:r>
    </w:p>
    <w:p w14:paraId="1796D6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浙江龙游农村商业银行相继出台多项关于绿色办公运营的指引文件，旨在减少能源消耗、提升资源利用率、推动浙江龙游农村商业银行可持续发展。相关制度对全体员工的绿色办公行为提出了要求，包括办公场所的日常节电、节水、节油、节纸以及设备采购等方面，同时也时刻关注办公场所的干净整洁，确保办公环境的绿化、美化、净化。</w:t>
      </w:r>
    </w:p>
    <w:p w14:paraId="62B977F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6400"/>
          <w:sz w:val="32"/>
          <w:szCs w:val="32"/>
          <w:lang w:val="en-US" w:eastAsia="zh-CN"/>
        </w:rPr>
        <w:t>·</w:t>
      </w:r>
      <w:r>
        <w:rPr>
          <w:rFonts w:hint="eastAsia" w:ascii="仿宋_GB2312" w:hAnsi="仿宋_GB2312" w:eastAsia="仿宋_GB2312" w:cs="仿宋_GB2312"/>
          <w:sz w:val="32"/>
          <w:szCs w:val="32"/>
        </w:rPr>
        <w:t>办公用水：避免大开水龙头，用完水后拧紧水龙头，杜绝“长流水”;在参加会议、活动后，提倡带走喝剩下的一次性瓶装水。</w:t>
      </w:r>
    </w:p>
    <w:p w14:paraId="04B9167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6400"/>
          <w:sz w:val="32"/>
          <w:szCs w:val="32"/>
          <w:lang w:val="en-US" w:eastAsia="zh-CN"/>
        </w:rPr>
        <w:t>·</w:t>
      </w:r>
      <w:r>
        <w:rPr>
          <w:rFonts w:hint="eastAsia" w:ascii="仿宋_GB2312" w:hAnsi="仿宋_GB2312" w:eastAsia="仿宋_GB2312" w:cs="仿宋_GB2312"/>
          <w:sz w:val="32"/>
          <w:szCs w:val="32"/>
        </w:rPr>
        <w:t>空调用电：科学使用空调，夏天温控标准不低于26摄氏度，没人不开空调，禁止开窗使用空调，提倡下班前15分钟关闭空调。</w:t>
      </w:r>
    </w:p>
    <w:p w14:paraId="4A06C5F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6400"/>
          <w:sz w:val="32"/>
          <w:szCs w:val="32"/>
          <w:lang w:val="en-US" w:eastAsia="zh-CN"/>
        </w:rPr>
        <w:t>·</w:t>
      </w:r>
      <w:r>
        <w:rPr>
          <w:rFonts w:hint="eastAsia" w:ascii="仿宋_GB2312" w:hAnsi="仿宋_GB2312" w:eastAsia="仿宋_GB2312" w:cs="仿宋_GB2312"/>
          <w:sz w:val="32"/>
          <w:szCs w:val="32"/>
        </w:rPr>
        <w:t>照明用电：人走灯熄，提倡“能用一盏不开多盏”;杜绝长明灯，提倡在光线充足时不开灯;电脑、复印机、打印机等，提倡暂时不用时使用休眠状态、长时间不用时关闭电源;放假、下班时，一定拔掉(关闭)用电设备电源;</w:t>
      </w:r>
    </w:p>
    <w:p w14:paraId="7EBFD51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6400"/>
          <w:sz w:val="32"/>
          <w:szCs w:val="32"/>
          <w:lang w:val="en-US" w:eastAsia="zh-CN"/>
        </w:rPr>
        <w:t>·</w:t>
      </w:r>
      <w:r>
        <w:rPr>
          <w:rFonts w:hint="eastAsia" w:ascii="仿宋_GB2312" w:hAnsi="仿宋_GB2312" w:eastAsia="仿宋_GB2312" w:cs="仿宋_GB2312"/>
          <w:sz w:val="32"/>
          <w:szCs w:val="32"/>
        </w:rPr>
        <w:t>公务用车使用管理：严格控制公务用车、强化能耗控制；要求公务用车管理遵循统一管理、定向保障、经济适用、节能环保的原则；</w:t>
      </w:r>
    </w:p>
    <w:p w14:paraId="26D81F0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6400"/>
          <w:sz w:val="32"/>
          <w:szCs w:val="32"/>
          <w:lang w:val="en-US" w:eastAsia="zh-CN"/>
        </w:rPr>
        <w:t>·</w:t>
      </w:r>
      <w:r>
        <w:rPr>
          <w:rFonts w:hint="eastAsia" w:ascii="仿宋_GB2312" w:hAnsi="仿宋_GB2312" w:eastAsia="仿宋_GB2312" w:cs="仿宋_GB2312"/>
          <w:sz w:val="32"/>
          <w:szCs w:val="32"/>
        </w:rPr>
        <w:t>文件传输：提倡无纸化办公，推广内部办公OA系统和远程视频会议</w:t>
      </w:r>
    </w:p>
    <w:p w14:paraId="047E6DF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6400"/>
          <w:sz w:val="32"/>
          <w:szCs w:val="32"/>
          <w:lang w:val="en-US" w:eastAsia="zh-CN"/>
        </w:rPr>
        <w:t>·</w:t>
      </w:r>
      <w:r>
        <w:rPr>
          <w:rFonts w:hint="eastAsia" w:ascii="仿宋_GB2312" w:hAnsi="仿宋_GB2312" w:eastAsia="仿宋_GB2312" w:cs="仿宋_GB2312"/>
          <w:sz w:val="32"/>
          <w:szCs w:val="32"/>
        </w:rPr>
        <w:t>节纸管理：注意打印格式尽量少用纸，提倡打印纸双面用，双面复印，提倡无纸化办公。</w:t>
      </w:r>
    </w:p>
    <w:p w14:paraId="0889F2C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6400"/>
          <w:sz w:val="32"/>
          <w:szCs w:val="32"/>
          <w:lang w:val="en-US" w:eastAsia="zh-CN"/>
        </w:rPr>
        <w:t>·</w:t>
      </w:r>
      <w:r>
        <w:rPr>
          <w:rFonts w:hint="eastAsia" w:ascii="仿宋_GB2312" w:hAnsi="仿宋_GB2312" w:eastAsia="仿宋_GB2312" w:cs="仿宋_GB2312"/>
          <w:sz w:val="32"/>
          <w:szCs w:val="32"/>
        </w:rPr>
        <w:t>推行线上业务：积极响应衢州市政府“三年要贷款，最多跑一次”的服务要求，积极推广普及“浙里贷”等线上办贷的模式，进一步精简业务流程，提升整村授信、批量办贷的服务效率。</w:t>
      </w:r>
    </w:p>
    <w:p w14:paraId="5414C488">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绿色公益</w:t>
      </w:r>
    </w:p>
    <w:p w14:paraId="580558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为提升员工及社会大众的环保意识所举办的培训活动或公益活动的情况，包括活动次数、参与人数及社会影响等。</w:t>
      </w:r>
    </w:p>
    <w:p w14:paraId="4A8950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组织员工积极开展各项绿色环保公益活动，如环境卫生整治、垃圾清扫、植树养护、卫生巡查、绿色骑行等，不仅为衢州市的城市绿化和生态建设做出了力所能及的贡献，同时培养了员工绿色环保意识。</w:t>
      </w:r>
    </w:p>
    <w:p w14:paraId="75F807E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sz w:val="32"/>
          <w:szCs w:val="32"/>
        </w:rPr>
      </w:pPr>
      <w:r>
        <w:rPr>
          <w:rFonts w:hint="eastAsia" w:ascii="黑体" w:hAnsi="黑体" w:eastAsia="黑体" w:cs="黑体"/>
          <w:b/>
          <w:bCs/>
          <w:color w:val="006400"/>
          <w:sz w:val="32"/>
          <w:szCs w:val="32"/>
        </w:rPr>
        <w:t>三、社会责任（S）</w:t>
      </w:r>
    </w:p>
    <w:p w14:paraId="426267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bCs/>
          <w:sz w:val="32"/>
          <w:szCs w:val="32"/>
        </w:rPr>
      </w:pPr>
      <w:r>
        <w:rPr>
          <w:rFonts w:hint="eastAsia" w:ascii="方正楷体_GB2312" w:hAnsi="方正楷体_GB2312" w:eastAsia="方正楷体_GB2312" w:cs="方正楷体_GB2312"/>
          <w:b w:val="0"/>
          <w:bCs w:val="0"/>
          <w:color w:val="006400"/>
          <w:sz w:val="32"/>
          <w:szCs w:val="32"/>
        </w:rPr>
        <w:t>（一）客户服务</w:t>
      </w:r>
    </w:p>
    <w:p w14:paraId="7B1E63DE">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客户满意度</w:t>
      </w:r>
    </w:p>
    <w:p w14:paraId="5F0892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通过问卷调查、客户投诉等方式，定期收集客户意见和建议，不断改进客户服务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例如在客户还款时调研客户还款原因，是否因贷款利息过高或客户经理服务态度等因素还款，确保客户满意度提升</w:t>
      </w:r>
      <w:r>
        <w:rPr>
          <w:rFonts w:hint="eastAsia" w:ascii="仿宋_GB2312" w:hAnsi="仿宋_GB2312" w:eastAsia="仿宋_GB2312" w:cs="仿宋_GB2312"/>
          <w:sz w:val="32"/>
          <w:szCs w:val="32"/>
        </w:rPr>
        <w:t>。</w:t>
      </w:r>
    </w:p>
    <w:p w14:paraId="2AED0048">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加强客户信息保护，保障客户合法权益。</w:t>
      </w:r>
    </w:p>
    <w:p w14:paraId="6531BE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开展金融知识普及活动，提高客户金融素养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通过“金融大讲堂”、“金融茶话会”等形式向客户宣导有关权益，例如存款保险、反诈知识等，切实保障客户权益</w:t>
      </w:r>
      <w:r>
        <w:rPr>
          <w:rFonts w:hint="eastAsia" w:ascii="仿宋_GB2312" w:hAnsi="仿宋_GB2312" w:eastAsia="仿宋_GB2312" w:cs="仿宋_GB2312"/>
          <w:sz w:val="32"/>
          <w:szCs w:val="32"/>
        </w:rPr>
        <w:t>。</w:t>
      </w:r>
    </w:p>
    <w:p w14:paraId="76550C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bCs/>
          <w:sz w:val="32"/>
          <w:szCs w:val="32"/>
        </w:rPr>
      </w:pPr>
      <w:r>
        <w:rPr>
          <w:rFonts w:hint="eastAsia" w:ascii="方正楷体_GB2312" w:hAnsi="方正楷体_GB2312" w:eastAsia="方正楷体_GB2312" w:cs="方正楷体_GB2312"/>
          <w:b w:val="0"/>
          <w:bCs w:val="0"/>
          <w:color w:val="006400"/>
          <w:sz w:val="32"/>
          <w:szCs w:val="32"/>
        </w:rPr>
        <w:t>（二）员工发展</w:t>
      </w:r>
    </w:p>
    <w:p w14:paraId="5F069FE1">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员工培训与发展</w:t>
      </w:r>
    </w:p>
    <w:p w14:paraId="089BFDA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制定员工培训计划，提供多样化的培训课程和发展机会。</w:t>
      </w:r>
      <w:r>
        <w:rPr>
          <w:rFonts w:hint="eastAsia" w:ascii="仿宋_GB2312" w:hAnsi="仿宋_GB2312" w:eastAsia="仿宋_GB2312" w:cs="仿宋_GB2312"/>
          <w:sz w:val="32"/>
          <w:szCs w:val="32"/>
          <w:lang w:val="en-US" w:eastAsia="zh-CN"/>
        </w:rPr>
        <w:t>2024年，共举行各类培训58场，总培训人次达6158人次，以下为部分培训：</w:t>
      </w:r>
    </w:p>
    <w:tbl>
      <w:tblPr>
        <w:tblStyle w:val="7"/>
        <w:tblW w:w="8593"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43"/>
        <w:gridCol w:w="2436"/>
        <w:gridCol w:w="3900"/>
        <w:gridCol w:w="1114"/>
      </w:tblGrid>
      <w:tr w14:paraId="153716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43" w:type="dxa"/>
            <w:tcBorders>
              <w:top w:val="single" w:color="auto" w:sz="4" w:space="0"/>
              <w:left w:val="single" w:color="auto" w:sz="4" w:space="0"/>
              <w:bottom w:val="single" w:color="auto" w:sz="4" w:space="0"/>
              <w:right w:val="single" w:color="auto" w:sz="4" w:space="0"/>
            </w:tcBorders>
            <w:shd w:val="clear" w:color="auto" w:fill="92D050"/>
            <w:vAlign w:val="center"/>
          </w:tcPr>
          <w:p w14:paraId="26C26D93">
            <w:pPr>
              <w:keepNext w:val="0"/>
              <w:keepLines w:val="0"/>
              <w:widowControl/>
              <w:suppressLineNumbers w:val="0"/>
              <w:jc w:val="center"/>
              <w:textAlignment w:val="center"/>
              <w:rPr>
                <w:rFonts w:ascii="Times New Roman" w:hAnsi="Times New Roman" w:eastAsia="楷体" w:cs="Times New Roman"/>
                <w:color w:val="000000"/>
                <w:kern w:val="0"/>
                <w:sz w:val="22"/>
                <w:szCs w:val="22"/>
                <w:lang w:bidi="ar"/>
              </w:rPr>
            </w:pPr>
            <w:r>
              <w:rPr>
                <w:rFonts w:hint="eastAsia" w:ascii="宋体" w:hAnsi="宋体" w:eastAsia="宋体" w:cs="宋体"/>
                <w:b/>
                <w:bCs/>
                <w:i w:val="0"/>
                <w:iCs w:val="0"/>
                <w:color w:val="000000"/>
                <w:kern w:val="0"/>
                <w:sz w:val="18"/>
                <w:szCs w:val="18"/>
                <w:u w:val="none"/>
                <w:lang w:val="en-US" w:eastAsia="zh-CN" w:bidi="ar"/>
              </w:rPr>
              <w:t>培训日期</w:t>
            </w:r>
          </w:p>
        </w:tc>
        <w:tc>
          <w:tcPr>
            <w:tcW w:w="2436" w:type="dxa"/>
            <w:tcBorders>
              <w:top w:val="single" w:color="auto" w:sz="4" w:space="0"/>
              <w:left w:val="single" w:color="auto" w:sz="4" w:space="0"/>
              <w:bottom w:val="single" w:color="auto" w:sz="4" w:space="0"/>
              <w:right w:val="single" w:color="auto" w:sz="4" w:space="0"/>
            </w:tcBorders>
            <w:shd w:val="clear" w:color="auto" w:fill="92D050"/>
            <w:vAlign w:val="center"/>
          </w:tcPr>
          <w:p w14:paraId="16754903">
            <w:pPr>
              <w:keepNext w:val="0"/>
              <w:keepLines w:val="0"/>
              <w:widowControl/>
              <w:suppressLineNumbers w:val="0"/>
              <w:jc w:val="center"/>
              <w:textAlignment w:val="center"/>
              <w:rPr>
                <w:rFonts w:ascii="Times New Roman" w:hAnsi="Times New Roman" w:eastAsia="楷体" w:cs="Times New Roman"/>
                <w:color w:val="000000"/>
                <w:kern w:val="0"/>
                <w:sz w:val="22"/>
                <w:szCs w:val="22"/>
                <w:lang w:bidi="ar"/>
              </w:rPr>
            </w:pPr>
            <w:r>
              <w:rPr>
                <w:rFonts w:hint="eastAsia" w:ascii="宋体" w:hAnsi="宋体" w:eastAsia="宋体" w:cs="宋体"/>
                <w:b/>
                <w:bCs/>
                <w:i w:val="0"/>
                <w:iCs w:val="0"/>
                <w:color w:val="000000"/>
                <w:kern w:val="0"/>
                <w:sz w:val="18"/>
                <w:szCs w:val="18"/>
                <w:u w:val="none"/>
                <w:lang w:val="en-US" w:eastAsia="zh-CN" w:bidi="ar"/>
              </w:rPr>
              <w:t>培训名称</w:t>
            </w:r>
          </w:p>
        </w:tc>
        <w:tc>
          <w:tcPr>
            <w:tcW w:w="3900" w:type="dxa"/>
            <w:tcBorders>
              <w:top w:val="single" w:color="auto" w:sz="4" w:space="0"/>
              <w:left w:val="single" w:color="auto" w:sz="4" w:space="0"/>
              <w:bottom w:val="single" w:color="auto" w:sz="4" w:space="0"/>
              <w:right w:val="single" w:color="auto" w:sz="4" w:space="0"/>
            </w:tcBorders>
            <w:shd w:val="clear" w:color="auto" w:fill="92D050"/>
            <w:vAlign w:val="center"/>
          </w:tcPr>
          <w:p w14:paraId="4A2BD30B">
            <w:pPr>
              <w:keepNext w:val="0"/>
              <w:keepLines w:val="0"/>
              <w:widowControl/>
              <w:suppressLineNumbers w:val="0"/>
              <w:jc w:val="center"/>
              <w:textAlignment w:val="center"/>
              <w:rPr>
                <w:rFonts w:ascii="Times New Roman" w:hAnsi="Times New Roman" w:eastAsia="楷体" w:cs="Times New Roman"/>
                <w:color w:val="000000"/>
                <w:kern w:val="0"/>
                <w:sz w:val="22"/>
                <w:szCs w:val="22"/>
                <w:lang w:bidi="ar"/>
              </w:rPr>
            </w:pPr>
            <w:r>
              <w:rPr>
                <w:rFonts w:hint="eastAsia" w:ascii="宋体" w:hAnsi="宋体" w:eastAsia="宋体" w:cs="宋体"/>
                <w:b/>
                <w:bCs/>
                <w:i w:val="0"/>
                <w:iCs w:val="0"/>
                <w:color w:val="000000"/>
                <w:kern w:val="0"/>
                <w:sz w:val="18"/>
                <w:szCs w:val="18"/>
                <w:u w:val="none"/>
                <w:lang w:val="en-US" w:eastAsia="zh-CN" w:bidi="ar"/>
              </w:rPr>
              <w:t>培训对象</w:t>
            </w:r>
          </w:p>
        </w:tc>
        <w:tc>
          <w:tcPr>
            <w:tcW w:w="1114" w:type="dxa"/>
            <w:tcBorders>
              <w:top w:val="single" w:color="auto" w:sz="4" w:space="0"/>
              <w:left w:val="single" w:color="auto" w:sz="4" w:space="0"/>
              <w:bottom w:val="single" w:color="auto" w:sz="4" w:space="0"/>
              <w:right w:val="single" w:color="auto" w:sz="4" w:space="0"/>
            </w:tcBorders>
            <w:shd w:val="clear" w:color="auto" w:fill="92D050"/>
            <w:vAlign w:val="center"/>
          </w:tcPr>
          <w:p w14:paraId="2363B858">
            <w:pPr>
              <w:keepNext w:val="0"/>
              <w:keepLines w:val="0"/>
              <w:widowControl/>
              <w:suppressLineNumbers w:val="0"/>
              <w:jc w:val="center"/>
              <w:textAlignment w:val="center"/>
              <w:rPr>
                <w:rFonts w:ascii="Times New Roman" w:hAnsi="Times New Roman" w:eastAsia="楷体" w:cs="Times New Roman"/>
                <w:color w:val="000000"/>
                <w:kern w:val="0"/>
                <w:sz w:val="22"/>
                <w:szCs w:val="22"/>
                <w:lang w:bidi="ar"/>
              </w:rPr>
            </w:pPr>
            <w:r>
              <w:rPr>
                <w:rFonts w:hint="eastAsia" w:ascii="宋体" w:hAnsi="宋体" w:eastAsia="宋体" w:cs="宋体"/>
                <w:b/>
                <w:bCs/>
                <w:i w:val="0"/>
                <w:iCs w:val="0"/>
                <w:color w:val="000000"/>
                <w:kern w:val="0"/>
                <w:sz w:val="18"/>
                <w:szCs w:val="18"/>
                <w:u w:val="none"/>
                <w:lang w:val="en-US" w:eastAsia="zh-CN" w:bidi="ar"/>
              </w:rPr>
              <w:t>培训总人数（人）</w:t>
            </w:r>
          </w:p>
        </w:tc>
      </w:tr>
      <w:tr w14:paraId="395B2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646BFBD4">
            <w:pPr>
              <w:keepNext w:val="0"/>
              <w:keepLines w:val="0"/>
              <w:widowControl/>
              <w:suppressLineNumbers w:val="0"/>
              <w:jc w:val="center"/>
              <w:textAlignment w:val="center"/>
              <w:rPr>
                <w:color w:val="FFFFFF" w:themeColor="background1"/>
                <w14:textFill>
                  <w14:solidFill>
                    <w14:schemeClr w14:val="bg1"/>
                  </w14:solidFill>
                </w14:textFill>
              </w:rPr>
            </w:pPr>
            <w:r>
              <w:rPr>
                <w:rFonts w:hint="eastAsia" w:ascii="宋体" w:hAnsi="宋体" w:eastAsia="宋体" w:cs="宋体"/>
                <w:i w:val="0"/>
                <w:iCs w:val="0"/>
                <w:color w:val="000000"/>
                <w:kern w:val="0"/>
                <w:sz w:val="18"/>
                <w:szCs w:val="18"/>
                <w:u w:val="none"/>
                <w:lang w:val="en-US" w:eastAsia="zh-CN" w:bidi="ar"/>
              </w:rPr>
              <w:t>20240529-20240530</w:t>
            </w:r>
          </w:p>
        </w:tc>
        <w:tc>
          <w:tcPr>
            <w:tcW w:w="2436" w:type="dxa"/>
            <w:tcBorders>
              <w:top w:val="single" w:color="auto" w:sz="4" w:space="0"/>
              <w:left w:val="single" w:color="auto" w:sz="4" w:space="0"/>
              <w:bottom w:val="single" w:color="auto" w:sz="4" w:space="0"/>
              <w:right w:val="single" w:color="auto" w:sz="4" w:space="0"/>
            </w:tcBorders>
            <w:shd w:val="clear" w:color="auto" w:fill="auto"/>
            <w:vAlign w:val="center"/>
          </w:tcPr>
          <w:p w14:paraId="6252EC0F">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消防安全知识、急救及逃生演练培训</w:t>
            </w: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4037E9DB">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全体员工及各网点大堂经理助理、保安人员</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14:paraId="52BAAF23">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469</w:t>
            </w:r>
          </w:p>
        </w:tc>
      </w:tr>
      <w:tr w14:paraId="14FCE1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43"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A7E6D58">
            <w:pPr>
              <w:keepNext w:val="0"/>
              <w:keepLines w:val="0"/>
              <w:widowControl/>
              <w:suppressLineNumbers w:val="0"/>
              <w:jc w:val="center"/>
              <w:textAlignment w:val="center"/>
              <w:rPr>
                <w:color w:val="FFFFFF" w:themeColor="background1"/>
                <w14:textFill>
                  <w14:solidFill>
                    <w14:schemeClr w14:val="bg1"/>
                  </w14:solidFill>
                </w14:textFill>
              </w:rPr>
            </w:pPr>
            <w:r>
              <w:rPr>
                <w:rFonts w:hint="eastAsia" w:ascii="宋体" w:hAnsi="宋体" w:eastAsia="宋体" w:cs="宋体"/>
                <w:i w:val="0"/>
                <w:iCs w:val="0"/>
                <w:color w:val="000000"/>
                <w:kern w:val="0"/>
                <w:sz w:val="18"/>
                <w:szCs w:val="18"/>
                <w:u w:val="none"/>
                <w:lang w:val="en-US" w:eastAsia="zh-CN" w:bidi="ar"/>
              </w:rPr>
              <w:t>20241112</w:t>
            </w:r>
          </w:p>
        </w:tc>
        <w:tc>
          <w:tcPr>
            <w:tcW w:w="243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2E810A4">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反洗钱全员培训</w:t>
            </w:r>
          </w:p>
        </w:tc>
        <w:tc>
          <w:tcPr>
            <w:tcW w:w="3900"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13664766">
            <w:pPr>
              <w:keepNext w:val="0"/>
              <w:keepLines w:val="0"/>
              <w:widowControl/>
              <w:suppressLineNumbers w:val="0"/>
              <w:jc w:val="center"/>
              <w:textAlignment w:val="center"/>
              <w:rPr>
                <w:rFonts w:hint="default"/>
                <w:lang w:val="en-US"/>
              </w:rPr>
            </w:pPr>
            <w:r>
              <w:rPr>
                <w:rFonts w:hint="eastAsia" w:ascii="宋体" w:hAnsi="宋体" w:eastAsia="宋体" w:cs="宋体"/>
                <w:i w:val="0"/>
                <w:iCs w:val="0"/>
                <w:color w:val="000000"/>
                <w:kern w:val="0"/>
                <w:sz w:val="18"/>
                <w:szCs w:val="18"/>
                <w:u w:val="none"/>
                <w:lang w:val="en-US" w:eastAsia="zh-CN" w:bidi="ar"/>
              </w:rPr>
              <w:t>全体员工</w:t>
            </w:r>
          </w:p>
        </w:tc>
        <w:tc>
          <w:tcPr>
            <w:tcW w:w="111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40B0BA99">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431</w:t>
            </w:r>
          </w:p>
        </w:tc>
      </w:tr>
      <w:tr w14:paraId="1CFFE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266F3318">
            <w:pPr>
              <w:keepNext w:val="0"/>
              <w:keepLines w:val="0"/>
              <w:widowControl/>
              <w:suppressLineNumbers w:val="0"/>
              <w:jc w:val="center"/>
              <w:textAlignment w:val="center"/>
              <w:rPr>
                <w:color w:val="FFFFFF" w:themeColor="background1"/>
                <w14:textFill>
                  <w14:solidFill>
                    <w14:schemeClr w14:val="bg1"/>
                  </w14:solidFill>
                </w14:textFill>
              </w:rPr>
            </w:pPr>
            <w:r>
              <w:rPr>
                <w:rFonts w:hint="eastAsia" w:ascii="宋体" w:hAnsi="宋体" w:eastAsia="宋体" w:cs="宋体"/>
                <w:i w:val="0"/>
                <w:iCs w:val="0"/>
                <w:color w:val="000000"/>
                <w:kern w:val="0"/>
                <w:sz w:val="18"/>
                <w:szCs w:val="18"/>
                <w:u w:val="none"/>
                <w:lang w:val="en-US" w:eastAsia="zh-CN" w:bidi="ar"/>
              </w:rPr>
              <w:t>20240508-20240530</w:t>
            </w:r>
          </w:p>
        </w:tc>
        <w:tc>
          <w:tcPr>
            <w:tcW w:w="2436" w:type="dxa"/>
            <w:tcBorders>
              <w:top w:val="single" w:color="auto" w:sz="4" w:space="0"/>
              <w:left w:val="single" w:color="auto" w:sz="4" w:space="0"/>
              <w:bottom w:val="single" w:color="auto" w:sz="4" w:space="0"/>
              <w:right w:val="single" w:color="auto" w:sz="4" w:space="0"/>
            </w:tcBorders>
            <w:shd w:val="clear" w:color="auto" w:fill="auto"/>
            <w:vAlign w:val="center"/>
          </w:tcPr>
          <w:p w14:paraId="35EDDA29">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安全保密知识线上培训</w:t>
            </w: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149790D2">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全体员工</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14:paraId="0158EEEB">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417</w:t>
            </w:r>
          </w:p>
        </w:tc>
      </w:tr>
      <w:tr w14:paraId="034D6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43"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6BCC10A1">
            <w:pPr>
              <w:keepNext w:val="0"/>
              <w:keepLines w:val="0"/>
              <w:widowControl/>
              <w:suppressLineNumbers w:val="0"/>
              <w:jc w:val="center"/>
              <w:textAlignment w:val="center"/>
              <w:rPr>
                <w:color w:val="FFFFFF" w:themeColor="background1"/>
                <w14:textFill>
                  <w14:solidFill>
                    <w14:schemeClr w14:val="bg1"/>
                  </w14:solidFill>
                </w14:textFill>
              </w:rPr>
            </w:pPr>
            <w:r>
              <w:rPr>
                <w:rFonts w:hint="eastAsia" w:ascii="宋体" w:hAnsi="宋体" w:eastAsia="宋体" w:cs="宋体"/>
                <w:i w:val="0"/>
                <w:iCs w:val="0"/>
                <w:color w:val="000000"/>
                <w:kern w:val="0"/>
                <w:sz w:val="18"/>
                <w:szCs w:val="18"/>
                <w:u w:val="none"/>
                <w:lang w:val="en-US" w:eastAsia="zh-CN" w:bidi="ar"/>
              </w:rPr>
              <w:t>20240123</w:t>
            </w:r>
          </w:p>
        </w:tc>
        <w:tc>
          <w:tcPr>
            <w:tcW w:w="243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4C5F541C">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交通违法行为警示教育大会</w:t>
            </w:r>
          </w:p>
        </w:tc>
        <w:tc>
          <w:tcPr>
            <w:tcW w:w="3900"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656130FF">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全体员工</w:t>
            </w:r>
          </w:p>
        </w:tc>
        <w:tc>
          <w:tcPr>
            <w:tcW w:w="111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77223150">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401</w:t>
            </w:r>
          </w:p>
        </w:tc>
      </w:tr>
      <w:tr w14:paraId="01F8E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0618F0C5">
            <w:pPr>
              <w:keepNext w:val="0"/>
              <w:keepLines w:val="0"/>
              <w:widowControl/>
              <w:suppressLineNumbers w:val="0"/>
              <w:jc w:val="center"/>
              <w:textAlignment w:val="center"/>
              <w:rPr>
                <w:color w:val="FFFFFF" w:themeColor="background1"/>
                <w14:textFill>
                  <w14:solidFill>
                    <w14:schemeClr w14:val="bg1"/>
                  </w14:solidFill>
                </w14:textFill>
              </w:rPr>
            </w:pPr>
            <w:r>
              <w:rPr>
                <w:rFonts w:hint="eastAsia" w:ascii="宋体" w:hAnsi="宋体" w:eastAsia="宋体" w:cs="宋体"/>
                <w:i w:val="0"/>
                <w:iCs w:val="0"/>
                <w:color w:val="000000"/>
                <w:kern w:val="0"/>
                <w:sz w:val="18"/>
                <w:szCs w:val="18"/>
                <w:u w:val="none"/>
                <w:lang w:val="en-US" w:eastAsia="zh-CN" w:bidi="ar"/>
              </w:rPr>
              <w:t>20240826</w:t>
            </w:r>
          </w:p>
        </w:tc>
        <w:tc>
          <w:tcPr>
            <w:tcW w:w="2436" w:type="dxa"/>
            <w:tcBorders>
              <w:top w:val="single" w:color="auto" w:sz="4" w:space="0"/>
              <w:left w:val="single" w:color="auto" w:sz="4" w:space="0"/>
              <w:bottom w:val="single" w:color="auto" w:sz="4" w:space="0"/>
              <w:right w:val="single" w:color="auto" w:sz="4" w:space="0"/>
            </w:tcBorders>
            <w:shd w:val="clear" w:color="auto" w:fill="auto"/>
            <w:vAlign w:val="center"/>
          </w:tcPr>
          <w:p w14:paraId="63E366CD">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强监管下消费者权益保护与客户投诉应对培训</w:t>
            </w: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6BC85E68">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全体员工</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14:paraId="4ABE82D5">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298</w:t>
            </w:r>
          </w:p>
        </w:tc>
      </w:tr>
      <w:tr w14:paraId="6D3E6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43"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7127F112">
            <w:pPr>
              <w:keepNext w:val="0"/>
              <w:keepLines w:val="0"/>
              <w:widowControl/>
              <w:suppressLineNumbers w:val="0"/>
              <w:jc w:val="center"/>
              <w:textAlignment w:val="center"/>
              <w:rPr>
                <w:color w:val="FFFFFF" w:themeColor="background1"/>
                <w14:textFill>
                  <w14:solidFill>
                    <w14:schemeClr w14:val="bg1"/>
                  </w14:solidFill>
                </w14:textFill>
              </w:rPr>
            </w:pPr>
            <w:r>
              <w:rPr>
                <w:rFonts w:hint="eastAsia" w:ascii="宋体" w:hAnsi="宋体" w:eastAsia="宋体" w:cs="宋体"/>
                <w:i w:val="0"/>
                <w:iCs w:val="0"/>
                <w:color w:val="000000"/>
                <w:kern w:val="0"/>
                <w:sz w:val="18"/>
                <w:szCs w:val="18"/>
                <w:u w:val="none"/>
                <w:lang w:val="en-US" w:eastAsia="zh-CN" w:bidi="ar"/>
              </w:rPr>
              <w:t>20240527</w:t>
            </w:r>
          </w:p>
        </w:tc>
        <w:tc>
          <w:tcPr>
            <w:tcW w:w="243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43BB44F4">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《中国共产党纪律处分条例》解读专题讲座</w:t>
            </w:r>
          </w:p>
        </w:tc>
        <w:tc>
          <w:tcPr>
            <w:tcW w:w="3900"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17AEE287">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总行领导班子，中层正副职，分理处主任、行长助理、总经理助理，主办会计，督导员，全体客户经理，助理客户经理，全体在职党员</w:t>
            </w:r>
          </w:p>
        </w:tc>
        <w:tc>
          <w:tcPr>
            <w:tcW w:w="1114"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5BD74D1">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216</w:t>
            </w:r>
          </w:p>
        </w:tc>
      </w:tr>
      <w:tr w14:paraId="185BB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5627E3DF">
            <w:pPr>
              <w:keepNext w:val="0"/>
              <w:keepLines w:val="0"/>
              <w:widowControl/>
              <w:suppressLineNumbers w:val="0"/>
              <w:jc w:val="center"/>
              <w:textAlignment w:val="center"/>
              <w:rPr>
                <w:color w:val="FFFFFF" w:themeColor="background1"/>
                <w14:textFill>
                  <w14:solidFill>
                    <w14:schemeClr w14:val="bg1"/>
                  </w14:solidFill>
                </w14:textFill>
              </w:rPr>
            </w:pPr>
            <w:r>
              <w:rPr>
                <w:rFonts w:hint="eastAsia" w:ascii="宋体" w:hAnsi="宋体" w:eastAsia="宋体" w:cs="宋体"/>
                <w:i w:val="0"/>
                <w:iCs w:val="0"/>
                <w:color w:val="000000"/>
                <w:kern w:val="0"/>
                <w:sz w:val="18"/>
                <w:szCs w:val="18"/>
                <w:u w:val="none"/>
                <w:lang w:val="en-US" w:eastAsia="zh-CN" w:bidi="ar"/>
              </w:rPr>
              <w:t>20241028</w:t>
            </w:r>
          </w:p>
        </w:tc>
        <w:tc>
          <w:tcPr>
            <w:tcW w:w="2436" w:type="dxa"/>
            <w:tcBorders>
              <w:top w:val="single" w:color="auto" w:sz="4" w:space="0"/>
              <w:left w:val="single" w:color="auto" w:sz="4" w:space="0"/>
              <w:bottom w:val="single" w:color="auto" w:sz="4" w:space="0"/>
              <w:right w:val="single" w:color="auto" w:sz="4" w:space="0"/>
            </w:tcBorders>
            <w:shd w:val="clear" w:color="auto" w:fill="auto"/>
            <w:vAlign w:val="center"/>
          </w:tcPr>
          <w:p w14:paraId="70834821">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学习贯彻党的二十届三中全会精神专题暨8090宣讲集市</w:t>
            </w:r>
          </w:p>
        </w:tc>
        <w:tc>
          <w:tcPr>
            <w:tcW w:w="3900" w:type="dxa"/>
            <w:tcBorders>
              <w:top w:val="single" w:color="auto" w:sz="4" w:space="0"/>
              <w:left w:val="single" w:color="auto" w:sz="4" w:space="0"/>
              <w:bottom w:val="single" w:color="auto" w:sz="4" w:space="0"/>
              <w:right w:val="single" w:color="auto" w:sz="4" w:space="0"/>
            </w:tcBorders>
            <w:shd w:val="clear" w:color="auto" w:fill="auto"/>
            <w:vAlign w:val="center"/>
          </w:tcPr>
          <w:p w14:paraId="3DAE8D0F">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总行领导班子，各部室总经理、副总经理；各支行（部）行长（总经理）、副行长（副总经理），全体正式党员、预备党员，8090星级宣讲员</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14:paraId="34A6EF6F">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183</w:t>
            </w:r>
          </w:p>
        </w:tc>
      </w:tr>
    </w:tbl>
    <w:p w14:paraId="1344811F">
      <w:pPr>
        <w:pStyle w:val="2"/>
        <w:ind w:left="0" w:leftChars="0" w:firstLine="0" w:firstLineChars="0"/>
        <w:rPr>
          <w:rFonts w:hint="default"/>
          <w:lang w:val="en-US" w:eastAsia="zh-CN"/>
        </w:rPr>
      </w:pPr>
    </w:p>
    <w:p w14:paraId="15D59F30">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提供具有竞争力的薪酬福利，关心员工身心健康。</w:t>
      </w:r>
    </w:p>
    <w:p w14:paraId="5B7BC7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具有较为完善的薪酬福利体系，保障员工基本福利，包括但不限于六险二金、带薪病假及带薪产假等，不断修订完善龙游农商银行《薪酬管理办法》（龙农商银发〔2024〕31号）《员工福利管理办法》（龙农商银发〔2023〕63号）《员工考勤休假管理办法》（龙农商银发〔2021〕134号）《员工关心关爱管理办法》（龙农商银发〔2021〕128号）《职工重病医疗互助保障会章程》（龙农商银发〔2019〕63号）《企业年金方案》《补充医疗基金实施方案》等制度机制。员工队伍较为稳定，员工离职率较低，近三年年均2.46%，在浙江农商银行系统位于中间水平。</w:t>
      </w:r>
    </w:p>
    <w:p w14:paraId="3F08CD19">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提升员工满意度</w:t>
      </w:r>
    </w:p>
    <w:p w14:paraId="2A6BFD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通过问卷调查、员工座谈会等方式，定期收集员工意见和建议，不断改善员工工作环境和条件。员工满意度100%，未发生员工投诉、劳动仲裁等事件。</w:t>
      </w:r>
    </w:p>
    <w:p w14:paraId="6F2492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b w:val="0"/>
          <w:bCs w:val="0"/>
          <w:color w:val="006400"/>
          <w:sz w:val="32"/>
          <w:szCs w:val="32"/>
        </w:rPr>
      </w:pPr>
      <w:r>
        <w:rPr>
          <w:rFonts w:hint="eastAsia" w:ascii="方正楷体_GB2312" w:hAnsi="方正楷体_GB2312" w:eastAsia="方正楷体_GB2312" w:cs="方正楷体_GB2312"/>
          <w:b w:val="0"/>
          <w:bCs w:val="0"/>
          <w:color w:val="006400"/>
          <w:sz w:val="32"/>
          <w:szCs w:val="32"/>
        </w:rPr>
        <w:t>（三）社区参与</w:t>
      </w:r>
    </w:p>
    <w:p w14:paraId="290C04DB">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公益慈善</w:t>
      </w:r>
    </w:p>
    <w:p w14:paraId="05C10D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积极参与公益慈善活动，回馈社会。</w:t>
      </w:r>
      <w:r>
        <w:rPr>
          <w:rFonts w:hint="eastAsia" w:ascii="仿宋_GB2312" w:hAnsi="仿宋_GB2312" w:eastAsia="仿宋_GB2312" w:cs="仿宋_GB2312"/>
          <w:sz w:val="32"/>
          <w:szCs w:val="32"/>
          <w:lang w:val="en-US" w:eastAsia="zh-CN"/>
        </w:rPr>
        <w:t>总行</w:t>
      </w:r>
      <w:r>
        <w:rPr>
          <w:rFonts w:hint="eastAsia" w:ascii="仿宋_GB2312" w:hAnsi="仿宋_GB2312" w:eastAsia="仿宋_GB2312" w:cs="仿宋_GB2312"/>
          <w:sz w:val="32"/>
          <w:szCs w:val="32"/>
        </w:rPr>
        <w:t>领导、中层管理人员每月开展贫困帮扶活动</w:t>
      </w:r>
      <w:r>
        <w:rPr>
          <w:rFonts w:hint="eastAsia" w:ascii="仿宋_GB2312" w:hAnsi="仿宋_GB2312" w:eastAsia="仿宋_GB2312" w:cs="仿宋_GB2312"/>
          <w:sz w:val="32"/>
          <w:szCs w:val="32"/>
          <w:highlight w:val="none"/>
        </w:rPr>
        <w:t>约340</w:t>
      </w:r>
      <w:r>
        <w:rPr>
          <w:rFonts w:hint="eastAsia" w:ascii="仿宋_GB2312" w:hAnsi="仿宋_GB2312" w:eastAsia="仿宋_GB2312" w:cs="仿宋_GB2312"/>
          <w:sz w:val="32"/>
          <w:szCs w:val="32"/>
        </w:rPr>
        <w:t>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我行每周组织到社区进行志愿活动，一年共组织52次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本年度</w:t>
      </w:r>
      <w:r>
        <w:rPr>
          <w:rFonts w:hint="eastAsia" w:ascii="仿宋_GB2312" w:hAnsi="仿宋_GB2312" w:eastAsia="仿宋_GB2312" w:cs="仿宋_GB2312"/>
          <w:sz w:val="32"/>
          <w:szCs w:val="32"/>
        </w:rPr>
        <w:t>向</w:t>
      </w:r>
      <w:r>
        <w:rPr>
          <w:rFonts w:hint="eastAsia" w:ascii="仿宋_GB2312" w:hAnsi="仿宋_GB2312" w:eastAsia="仿宋_GB2312" w:cs="仿宋_GB2312"/>
          <w:sz w:val="32"/>
          <w:szCs w:val="32"/>
          <w:lang w:val="en-US" w:eastAsia="zh-CN"/>
        </w:rPr>
        <w:t>衢州市</w:t>
      </w:r>
      <w:r>
        <w:rPr>
          <w:rFonts w:hint="eastAsia" w:ascii="仿宋_GB2312" w:hAnsi="仿宋_GB2312" w:eastAsia="仿宋_GB2312" w:cs="仿宋_GB2312"/>
          <w:sz w:val="32"/>
          <w:szCs w:val="32"/>
        </w:rPr>
        <w:t>慈善联合总会</w:t>
      </w:r>
      <w:r>
        <w:rPr>
          <w:rFonts w:hint="eastAsia" w:ascii="仿宋_GB2312" w:hAnsi="仿宋_GB2312" w:eastAsia="仿宋_GB2312" w:cs="仿宋_GB2312"/>
          <w:sz w:val="32"/>
          <w:szCs w:val="32"/>
          <w:lang w:val="en-US" w:eastAsia="zh-CN"/>
        </w:rPr>
        <w:t>定向</w:t>
      </w:r>
      <w:r>
        <w:rPr>
          <w:rFonts w:hint="eastAsia" w:ascii="仿宋_GB2312" w:hAnsi="仿宋_GB2312" w:eastAsia="仿宋_GB2312" w:cs="仿宋_GB2312"/>
          <w:sz w:val="32"/>
          <w:szCs w:val="32"/>
        </w:rPr>
        <w:t>捐赠</w:t>
      </w:r>
      <w:r>
        <w:rPr>
          <w:rFonts w:hint="eastAsia" w:ascii="仿宋_GB2312" w:hAnsi="仿宋_GB2312" w:eastAsia="仿宋_GB2312" w:cs="仿宋_GB2312"/>
          <w:sz w:val="32"/>
          <w:szCs w:val="32"/>
          <w:lang w:val="en-US" w:eastAsia="zh-CN"/>
        </w:rPr>
        <w:t>衢州市军创企业家协会2</w:t>
      </w:r>
      <w:r>
        <w:rPr>
          <w:rFonts w:hint="eastAsia" w:ascii="仿宋_GB2312" w:hAnsi="仿宋_GB2312" w:eastAsia="仿宋_GB2312" w:cs="仿宋_GB2312"/>
          <w:sz w:val="32"/>
          <w:szCs w:val="32"/>
        </w:rPr>
        <w:t>0万；向</w:t>
      </w:r>
      <w:r>
        <w:rPr>
          <w:rFonts w:hint="eastAsia" w:ascii="仿宋_GB2312" w:hAnsi="仿宋_GB2312" w:eastAsia="仿宋_GB2312" w:cs="仿宋_GB2312"/>
          <w:sz w:val="32"/>
          <w:szCs w:val="32"/>
          <w:lang w:val="en-US" w:eastAsia="zh-CN"/>
        </w:rPr>
        <w:t>龙游县红十字会定向捐赠龙游县妇幼保健院350万</w:t>
      </w:r>
      <w:r>
        <w:rPr>
          <w:rFonts w:hint="eastAsia" w:ascii="仿宋_GB2312" w:hAnsi="仿宋_GB2312" w:eastAsia="仿宋_GB2312" w:cs="仿宋_GB2312"/>
          <w:sz w:val="32"/>
          <w:szCs w:val="32"/>
        </w:rPr>
        <w:t>；向</w:t>
      </w:r>
      <w:r>
        <w:rPr>
          <w:rFonts w:hint="eastAsia" w:ascii="仿宋_GB2312" w:hAnsi="仿宋_GB2312" w:eastAsia="仿宋_GB2312" w:cs="仿宋_GB2312"/>
          <w:sz w:val="32"/>
          <w:szCs w:val="32"/>
          <w:lang w:val="en-US" w:eastAsia="zh-CN"/>
        </w:rPr>
        <w:t>龙游县人民教育基金会捐赠280万</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年共捐赠</w:t>
      </w:r>
      <w:r>
        <w:rPr>
          <w:rFonts w:hint="eastAsia" w:ascii="仿宋_GB2312" w:hAnsi="仿宋_GB2312" w:eastAsia="仿宋_GB2312" w:cs="仿宋_GB2312"/>
          <w:sz w:val="32"/>
          <w:szCs w:val="32"/>
          <w:lang w:val="en-US" w:eastAsia="zh-CN"/>
        </w:rPr>
        <w:t>650</w:t>
      </w:r>
      <w:r>
        <w:rPr>
          <w:rFonts w:hint="eastAsia" w:ascii="仿宋_GB2312" w:hAnsi="仿宋_GB2312" w:eastAsia="仿宋_GB2312" w:cs="仿宋_GB2312"/>
          <w:sz w:val="32"/>
          <w:szCs w:val="32"/>
        </w:rPr>
        <w:t>万元。</w:t>
      </w:r>
    </w:p>
    <w:p w14:paraId="28045E08">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支持地方经济发展</w:t>
      </w:r>
      <w:r>
        <w:rPr>
          <w:rFonts w:hint="eastAsia" w:ascii="仿宋_GB2312" w:hAnsi="仿宋_GB2312" w:eastAsia="仿宋_GB2312" w:cs="仿宋_GB2312"/>
          <w:sz w:val="32"/>
          <w:szCs w:val="32"/>
          <w:lang w:eastAsia="zh-CN"/>
        </w:rPr>
        <w:t>。</w:t>
      </w:r>
    </w:p>
    <w:p w14:paraId="67C12F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加大对地方经济的支持力度，促进地方经济发展。</w:t>
      </w:r>
      <w:r>
        <w:rPr>
          <w:rFonts w:hint="eastAsia" w:ascii="仿宋_GB2312" w:hAnsi="仿宋_GB2312" w:eastAsia="仿宋_GB2312" w:cs="仿宋_GB2312"/>
          <w:sz w:val="32"/>
          <w:szCs w:val="32"/>
          <w:lang w:val="en-US" w:eastAsia="zh-CN"/>
        </w:rPr>
        <w:t>本行坚定</w:t>
      </w:r>
      <w:r>
        <w:rPr>
          <w:rFonts w:hint="eastAsia" w:ascii="仿宋_GB2312" w:hAnsi="仿宋_GB2312" w:eastAsia="仿宋_GB2312" w:cs="仿宋_GB2312"/>
          <w:sz w:val="32"/>
          <w:szCs w:val="32"/>
        </w:rPr>
        <w:t>助企纾困落实延期还本付息政策</w:t>
      </w:r>
      <w:r>
        <w:rPr>
          <w:rFonts w:hint="eastAsia" w:ascii="仿宋_GB2312" w:hAnsi="仿宋_GB2312" w:eastAsia="仿宋_GB2312" w:cs="仿宋_GB2312"/>
          <w:sz w:val="32"/>
          <w:szCs w:val="32"/>
          <w:lang w:val="en-US" w:eastAsia="zh-CN"/>
        </w:rPr>
        <w:t>落实</w:t>
      </w:r>
      <w:r>
        <w:rPr>
          <w:rFonts w:hint="eastAsia" w:ascii="仿宋_GB2312" w:hAnsi="仿宋_GB2312" w:eastAsia="仿宋_GB2312" w:cs="仿宋_GB2312"/>
          <w:sz w:val="32"/>
          <w:szCs w:val="32"/>
        </w:rPr>
        <w:t>，常态化实行助企纾困政策，包括但不限于延期还本付息、无还本续贷、分期还款等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对特定客户群体（小微企业、个体工商户等市场主体及老年人、残疾人、军人等）实施差异化定价，实施减免优惠措施是，针对小微主体、退伍军人等群体均有不同程度的利率优惠政策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创新“惠农金融产品”，为当地群众提供资金、生产、流通等产业发展中的金融服务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例如创新银桔贷，专门为种桔农户开发的产品，为其提供生产资金。设立农村普惠金融服务站，目前已在全县各村、各乡镇开设270家丰收驿站，配备站长（金融指导员）</w:t>
      </w:r>
      <w:r>
        <w:rPr>
          <w:rFonts w:hint="eastAsia" w:ascii="仿宋_GB2312" w:hAnsi="仿宋_GB2312" w:eastAsia="仿宋_GB2312" w:cs="仿宋_GB2312"/>
          <w:sz w:val="32"/>
          <w:szCs w:val="32"/>
          <w:lang w:eastAsia="zh-CN"/>
        </w:rPr>
        <w:t>。</w:t>
      </w:r>
    </w:p>
    <w:p w14:paraId="11BF9B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制定相关政策深入支持与帮扶科创及先进制造业，如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龙游农商银行制造业高质量发展行动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等方案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开辟授信审批绿色通道，给予科技创新型企业专项信贷支持，对于科技型企业，尤其是专精特新等清单企业，均有不同程度利率优惠</w:t>
      </w:r>
      <w:r>
        <w:rPr>
          <w:rFonts w:hint="eastAsia" w:ascii="仿宋_GB2312" w:hAnsi="仿宋_GB2312" w:eastAsia="仿宋_GB2312" w:cs="仿宋_GB2312"/>
          <w:sz w:val="32"/>
          <w:szCs w:val="32"/>
          <w:lang w:eastAsia="zh-CN"/>
        </w:rPr>
        <w:t>；</w:t>
      </w:r>
    </w:p>
    <w:p w14:paraId="61A2AAF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color w:val="006400"/>
          <w:sz w:val="32"/>
          <w:szCs w:val="32"/>
        </w:rPr>
      </w:pPr>
      <w:r>
        <w:rPr>
          <w:rFonts w:hint="eastAsia" w:ascii="黑体" w:hAnsi="黑体" w:eastAsia="黑体" w:cs="黑体"/>
          <w:b/>
          <w:bCs/>
          <w:color w:val="006400"/>
          <w:sz w:val="32"/>
          <w:szCs w:val="32"/>
        </w:rPr>
        <w:t>四、公司治理（G）</w:t>
      </w:r>
    </w:p>
    <w:p w14:paraId="4FC352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b w:val="0"/>
          <w:bCs w:val="0"/>
          <w:color w:val="006400"/>
          <w:sz w:val="32"/>
          <w:szCs w:val="32"/>
        </w:rPr>
      </w:pPr>
      <w:r>
        <w:rPr>
          <w:rFonts w:hint="eastAsia" w:ascii="方正楷体_GB2312" w:hAnsi="方正楷体_GB2312" w:eastAsia="方正楷体_GB2312" w:cs="方正楷体_GB2312"/>
          <w:b w:val="0"/>
          <w:bCs w:val="0"/>
          <w:color w:val="006400"/>
          <w:sz w:val="32"/>
          <w:szCs w:val="32"/>
        </w:rPr>
        <w:t>（一）公司治理结构</w:t>
      </w:r>
    </w:p>
    <w:p w14:paraId="273D61D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eastAsia="zh-CN"/>
        </w:rPr>
      </w:pPr>
      <w:r>
        <w:rPr>
          <w:rFonts w:hint="eastAsia" w:ascii="仿宋_GB2312" w:hAnsi="黑体" w:eastAsia="仿宋_GB2312"/>
          <w:b/>
          <w:bCs/>
          <w:color w:val="006400"/>
          <w:sz w:val="32"/>
          <w:szCs w:val="32"/>
          <w:lang w:val="en-US" w:eastAsia="zh-CN"/>
        </w:rPr>
        <w:t>*</w:t>
      </w:r>
      <w:r>
        <w:rPr>
          <w:rFonts w:hint="eastAsia" w:ascii="仿宋_GB2312" w:hAnsi="仿宋_GB2312" w:eastAsia="仿宋_GB2312" w:cs="仿宋_GB2312"/>
          <w:sz w:val="32"/>
          <w:szCs w:val="32"/>
        </w:rPr>
        <w:t>已制定</w:t>
      </w:r>
      <w:r>
        <w:rPr>
          <w:rFonts w:hint="eastAsia" w:ascii="仿宋_GB2312" w:hAnsi="仿宋_GB2312" w:eastAsia="仿宋_GB2312" w:cs="仿宋_GB2312"/>
          <w:sz w:val="32"/>
          <w:szCs w:val="32"/>
          <w:lang w:val="en-US" w:eastAsia="zh-CN"/>
        </w:rPr>
        <w:t>议事规则，</w:t>
      </w:r>
      <w:r>
        <w:rPr>
          <w:rFonts w:hint="eastAsia" w:ascii="仿宋_GB2312" w:hAnsi="仿宋_GB2312" w:eastAsia="仿宋_GB2312" w:cs="仿宋_GB2312"/>
          <w:sz w:val="32"/>
          <w:szCs w:val="32"/>
        </w:rPr>
        <w:t>《董事会议事规则》《监事会议事规则》</w:t>
      </w:r>
      <w:r>
        <w:rPr>
          <w:rFonts w:hint="eastAsia" w:ascii="仿宋_GB2312" w:hAnsi="仿宋_GB2312" w:eastAsia="仿宋_GB2312" w:cs="仿宋_GB2312"/>
          <w:sz w:val="32"/>
          <w:szCs w:val="32"/>
          <w:lang w:val="en-US" w:eastAsia="zh-CN"/>
        </w:rPr>
        <w:t>中明确</w:t>
      </w:r>
      <w:r>
        <w:rPr>
          <w:rFonts w:hint="eastAsia" w:ascii="仿宋_GB2312" w:hAnsi="仿宋_GB2312" w:eastAsia="仿宋_GB2312" w:cs="仿宋_GB2312"/>
          <w:sz w:val="32"/>
          <w:szCs w:val="32"/>
        </w:rPr>
        <w:t>按时召开年度董事会及各专门委员会会议按时召开董事会及各专门委员会会议</w:t>
      </w:r>
      <w:r>
        <w:rPr>
          <w:rFonts w:hint="eastAsia" w:ascii="仿宋_GB2312" w:hAnsi="仿宋_GB2312" w:eastAsia="仿宋_GB2312" w:cs="仿宋_GB2312"/>
          <w:sz w:val="32"/>
          <w:szCs w:val="32"/>
          <w:lang w:eastAsia="zh-CN"/>
        </w:rPr>
        <w:t>。</w:t>
      </w:r>
    </w:p>
    <w:p w14:paraId="032A19F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黑体" w:eastAsia="仿宋_GB2312"/>
          <w:b/>
          <w:bCs/>
          <w:color w:val="006400"/>
          <w:sz w:val="32"/>
          <w:szCs w:val="32"/>
          <w:lang w:val="en-US" w:eastAsia="zh-CN"/>
        </w:rPr>
        <w:t>*</w:t>
      </w:r>
      <w:r>
        <w:rPr>
          <w:rFonts w:hint="eastAsia" w:ascii="仿宋_GB2312" w:hAnsi="仿宋_GB2312" w:eastAsia="仿宋_GB2312" w:cs="仿宋_GB2312"/>
          <w:sz w:val="32"/>
          <w:szCs w:val="32"/>
          <w:lang w:val="en-US" w:eastAsia="zh-CN"/>
        </w:rPr>
        <w:t>已</w:t>
      </w:r>
      <w:r>
        <w:rPr>
          <w:rFonts w:hint="eastAsia" w:ascii="仿宋_GB2312" w:hAnsi="仿宋_GB2312" w:eastAsia="仿宋_GB2312" w:cs="仿宋_GB2312"/>
          <w:sz w:val="32"/>
          <w:szCs w:val="32"/>
        </w:rPr>
        <w:t>制定治理机制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《公司章程》《董事会议事规则》已对董事会治理机</w:t>
      </w:r>
      <w:bookmarkStart w:id="5" w:name="_GoBack"/>
      <w:bookmarkEnd w:id="5"/>
      <w:r>
        <w:rPr>
          <w:rFonts w:hint="eastAsia" w:ascii="仿宋_GB2312" w:hAnsi="仿宋_GB2312" w:eastAsia="仿宋_GB2312" w:cs="仿宋_GB2312"/>
          <w:sz w:val="32"/>
          <w:szCs w:val="32"/>
        </w:rPr>
        <w:t>制进行了明确，</w:t>
      </w:r>
      <w:r>
        <w:rPr>
          <w:rFonts w:hint="eastAsia" w:ascii="仿宋_GB2312" w:hAnsi="仿宋_GB2312" w:eastAsia="仿宋_GB2312" w:cs="仿宋_GB2312"/>
          <w:sz w:val="32"/>
          <w:szCs w:val="32"/>
          <w:lang w:val="en-US" w:eastAsia="zh-CN"/>
        </w:rPr>
        <w:t>此外，配备</w:t>
      </w:r>
      <w:r>
        <w:rPr>
          <w:rFonts w:hint="eastAsia" w:ascii="仿宋_GB2312" w:hAnsi="仿宋_GB2312" w:eastAsia="仿宋_GB2312" w:cs="仿宋_GB2312"/>
          <w:sz w:val="32"/>
          <w:szCs w:val="32"/>
        </w:rPr>
        <w:t>独立</w:t>
      </w:r>
      <w:r>
        <w:rPr>
          <w:rFonts w:hint="eastAsia" w:ascii="仿宋_GB2312" w:hAnsi="仿宋_GB2312" w:eastAsia="仿宋_GB2312" w:cs="仿宋_GB2312"/>
          <w:sz w:val="32"/>
          <w:szCs w:val="32"/>
          <w:highlight w:val="none"/>
        </w:rPr>
        <w:t>董事1人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独立董事占比7.14%</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202</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年我行召开董事会现场会4次</w:t>
      </w:r>
      <w:r>
        <w:rPr>
          <w:rFonts w:hint="eastAsia" w:ascii="仿宋_GB2312" w:hAnsi="仿宋_GB2312" w:eastAsia="仿宋_GB2312" w:cs="仿宋_GB2312"/>
          <w:sz w:val="32"/>
          <w:szCs w:val="32"/>
          <w:highlight w:val="none"/>
          <w:lang w:eastAsia="zh-CN"/>
        </w:rPr>
        <w:t>。</w:t>
      </w:r>
    </w:p>
    <w:p w14:paraId="3A1AF3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b w:val="0"/>
          <w:bCs w:val="0"/>
          <w:color w:val="006400"/>
          <w:sz w:val="32"/>
          <w:szCs w:val="32"/>
        </w:rPr>
      </w:pPr>
      <w:r>
        <w:rPr>
          <w:rFonts w:hint="eastAsia" w:ascii="方正楷体_GB2312" w:hAnsi="方正楷体_GB2312" w:eastAsia="方正楷体_GB2312" w:cs="方正楷体_GB2312"/>
          <w:b w:val="0"/>
          <w:bCs w:val="0"/>
          <w:color w:val="006400"/>
          <w:sz w:val="32"/>
          <w:szCs w:val="32"/>
        </w:rPr>
        <w:t>（二）风险管理</w:t>
      </w:r>
    </w:p>
    <w:p w14:paraId="47326497">
      <w:pPr>
        <w:widowControl/>
        <w:spacing w:line="560" w:lineRule="exact"/>
        <w:ind w:firstLine="640" w:firstLineChars="200"/>
        <w:rPr>
          <w:rFonts w:ascii="仿宋_GB2312" w:hAnsi="Times New Roman" w:eastAsia="仿宋_GB2312" w:cs="Times New Roman"/>
          <w:color w:val="000000"/>
          <w:kern w:val="0"/>
          <w:sz w:val="32"/>
          <w:szCs w:val="32"/>
          <w:lang w:bidi="ar"/>
        </w:rPr>
      </w:pPr>
      <w:r>
        <w:rPr>
          <w:rFonts w:ascii="仿宋_GB2312" w:hAnsi="Times New Roman" w:eastAsia="仿宋_GB2312" w:cs="Times New Roman"/>
          <w:color w:val="000000"/>
          <w:kern w:val="0"/>
          <w:sz w:val="32"/>
          <w:szCs w:val="32"/>
          <w:lang w:bidi="ar"/>
        </w:rPr>
        <w:t>金融机构环境风险管理的流程，包括但不限于：</w:t>
      </w:r>
    </w:p>
    <w:p w14:paraId="5B647DB7">
      <w:pPr>
        <w:widowControl/>
        <w:numPr>
          <w:ilvl w:val="0"/>
          <w:numId w:val="8"/>
        </w:numPr>
        <w:spacing w:line="560" w:lineRule="exact"/>
        <w:ind w:left="420" w:leftChars="0" w:hanging="420" w:firstLineChars="0"/>
        <w:rPr>
          <w:rFonts w:hint="eastAsia" w:ascii="仿宋_GB2312" w:hAnsi="Times New Roman" w:eastAsia="仿宋_GB2312" w:cs="Times New Roman"/>
          <w:color w:val="000000"/>
          <w:kern w:val="0"/>
          <w:sz w:val="32"/>
          <w:szCs w:val="32"/>
          <w:lang w:eastAsia="zh-CN" w:bidi="ar"/>
        </w:rPr>
      </w:pPr>
      <w:r>
        <w:rPr>
          <w:rFonts w:ascii="仿宋_GB2312" w:hAnsi="Times New Roman" w:eastAsia="仿宋_GB2312" w:cs="Times New Roman"/>
          <w:color w:val="000000"/>
          <w:kern w:val="0"/>
          <w:sz w:val="32"/>
          <w:szCs w:val="32"/>
          <w:lang w:bidi="ar"/>
        </w:rPr>
        <w:t>识别和评估环境相关风险的流程</w:t>
      </w:r>
      <w:r>
        <w:rPr>
          <w:rFonts w:hint="eastAsia" w:ascii="仿宋_GB2312" w:hAnsi="Times New Roman" w:eastAsia="仿宋_GB2312" w:cs="Times New Roman"/>
          <w:color w:val="000000"/>
          <w:kern w:val="0"/>
          <w:sz w:val="32"/>
          <w:szCs w:val="32"/>
          <w:lang w:eastAsia="zh-CN" w:bidi="ar"/>
        </w:rPr>
        <w:t>。</w:t>
      </w:r>
    </w:p>
    <w:p w14:paraId="1F46BDB9">
      <w:pPr>
        <w:widowControl/>
        <w:spacing w:line="560" w:lineRule="exact"/>
        <w:ind w:firstLine="640" w:firstLineChars="200"/>
        <w:rPr>
          <w:rFonts w:ascii="仿宋_GB2312" w:hAnsi="Times New Roman" w:eastAsia="仿宋_GB2312" w:cs="Times New Roman"/>
          <w:color w:val="000000"/>
          <w:kern w:val="0"/>
          <w:sz w:val="32"/>
          <w:szCs w:val="32"/>
          <w:lang w:bidi="ar"/>
        </w:rPr>
      </w:pPr>
      <w:r>
        <w:rPr>
          <w:rFonts w:hint="eastAsia" w:ascii="仿宋_GB2312" w:hAnsi="Times New Roman" w:eastAsia="仿宋_GB2312" w:cs="Times New Roman"/>
          <w:color w:val="000000"/>
          <w:kern w:val="0"/>
          <w:sz w:val="32"/>
          <w:szCs w:val="32"/>
          <w:lang w:bidi="ar"/>
        </w:rPr>
        <w:t>为搭建与完善绿色金融服务体系，提升我行环境和社会风险识别及防范能力，对企业客户进一步采取绿色企业名单制管理。绿色企业名单制管理能综合反映信贷客户面临的环境和社会风险高低，引导信贷资产结构绿色转型，控制环境和社会风险压力。</w:t>
      </w:r>
    </w:p>
    <w:p w14:paraId="452F906F">
      <w:pPr>
        <w:widowControl/>
        <w:spacing w:line="560" w:lineRule="exact"/>
        <w:ind w:firstLine="640" w:firstLineChars="200"/>
        <w:rPr>
          <w:rFonts w:ascii="仿宋_GB2312" w:hAnsi="Times New Roman" w:eastAsia="仿宋_GB2312" w:cs="Times New Roman"/>
          <w:color w:val="000000"/>
          <w:kern w:val="0"/>
          <w:sz w:val="32"/>
          <w:szCs w:val="32"/>
          <w:lang w:bidi="ar"/>
        </w:rPr>
      </w:pPr>
      <w:r>
        <w:rPr>
          <w:rFonts w:hint="eastAsia" w:ascii="仿宋_GB2312" w:hAnsi="Times New Roman" w:eastAsia="仿宋_GB2312" w:cs="Times New Roman"/>
          <w:color w:val="000000"/>
          <w:kern w:val="0"/>
          <w:sz w:val="32"/>
          <w:szCs w:val="32"/>
          <w:lang w:bidi="ar"/>
        </w:rPr>
        <w:t>绿色金融事业部负责环境和社会风险评估统计、监督和考核工作，以及名单制绿色企业的维护和统计工作。</w:t>
      </w:r>
    </w:p>
    <w:p w14:paraId="3EE4E1D5">
      <w:pPr>
        <w:widowControl/>
        <w:numPr>
          <w:ilvl w:val="0"/>
          <w:numId w:val="8"/>
        </w:numPr>
        <w:spacing w:line="560" w:lineRule="exact"/>
        <w:ind w:left="420" w:leftChars="0" w:hanging="420" w:firstLineChars="0"/>
        <w:rPr>
          <w:rFonts w:ascii="仿宋_GB2312" w:hAnsi="Times New Roman" w:eastAsia="仿宋_GB2312" w:cs="Times New Roman"/>
          <w:color w:val="000000"/>
          <w:kern w:val="0"/>
          <w:sz w:val="32"/>
          <w:szCs w:val="32"/>
          <w:lang w:bidi="ar"/>
        </w:rPr>
      </w:pPr>
      <w:r>
        <w:rPr>
          <w:rFonts w:ascii="仿宋_GB2312" w:hAnsi="Times New Roman" w:eastAsia="仿宋_GB2312" w:cs="Times New Roman"/>
          <w:color w:val="000000"/>
          <w:kern w:val="0"/>
          <w:sz w:val="32"/>
          <w:szCs w:val="32"/>
          <w:lang w:bidi="ar"/>
        </w:rPr>
        <w:t>管理和控制环境相关风险的流程。</w:t>
      </w:r>
    </w:p>
    <w:p w14:paraId="683448A6">
      <w:pPr>
        <w:widowControl/>
        <w:spacing w:line="560" w:lineRule="exact"/>
        <w:ind w:firstLine="640" w:firstLineChars="200"/>
        <w:rPr>
          <w:rFonts w:ascii="仿宋_GB2312" w:hAnsi="Times New Roman" w:eastAsia="仿宋_GB2312" w:cs="Times New Roman"/>
          <w:color w:val="000000"/>
          <w:kern w:val="0"/>
          <w:sz w:val="32"/>
          <w:szCs w:val="32"/>
          <w:lang w:bidi="ar"/>
        </w:rPr>
      </w:pPr>
      <w:r>
        <w:rPr>
          <w:rFonts w:hint="eastAsia" w:ascii="仿宋_GB2312" w:hAnsi="Times New Roman" w:eastAsia="仿宋_GB2312" w:cs="Times New Roman"/>
          <w:color w:val="000000"/>
          <w:kern w:val="0"/>
          <w:sz w:val="32"/>
          <w:szCs w:val="32"/>
          <w:lang w:bidi="ar"/>
        </w:rPr>
        <w:t>调查评级阶段，依照《浙江龙游农村商业银行股份有限公司信贷客户环境风险评估方法成果报告》，根据授信客户环境和社会风险的严重程度，我行将绿色信贷授信客户划分为</w:t>
      </w:r>
      <w:r>
        <w:rPr>
          <w:rFonts w:ascii="仿宋_GB2312" w:hAnsi="Times New Roman" w:eastAsia="仿宋_GB2312" w:cs="Times New Roman"/>
          <w:color w:val="000000"/>
          <w:kern w:val="0"/>
          <w:sz w:val="32"/>
          <w:szCs w:val="32"/>
          <w:lang w:bidi="ar"/>
        </w:rPr>
        <w:t>I、II、III</w:t>
      </w:r>
      <w:r>
        <w:rPr>
          <w:rFonts w:hint="eastAsia" w:ascii="仿宋_GB2312" w:hAnsi="Times New Roman" w:eastAsia="仿宋_GB2312" w:cs="Times New Roman"/>
          <w:color w:val="000000"/>
          <w:kern w:val="0"/>
          <w:sz w:val="32"/>
          <w:szCs w:val="32"/>
          <w:lang w:bidi="ar"/>
        </w:rPr>
        <w:t>、</w:t>
      </w:r>
      <w:r>
        <w:rPr>
          <w:rFonts w:ascii="仿宋_GB2312" w:hAnsi="Times New Roman" w:eastAsia="仿宋_GB2312" w:cs="Times New Roman"/>
          <w:color w:val="000000"/>
          <w:kern w:val="0"/>
          <w:sz w:val="32"/>
          <w:szCs w:val="32"/>
          <w:lang w:bidi="ar"/>
        </w:rPr>
        <w:t>IV</w:t>
      </w:r>
      <w:r>
        <w:rPr>
          <w:rFonts w:hint="eastAsia" w:ascii="仿宋_GB2312" w:hAnsi="Times New Roman" w:eastAsia="仿宋_GB2312" w:cs="Times New Roman"/>
          <w:color w:val="000000"/>
          <w:kern w:val="0"/>
          <w:sz w:val="32"/>
          <w:szCs w:val="32"/>
          <w:lang w:bidi="ar"/>
        </w:rPr>
        <w:t>四级，在此基础上，对环境和社会风险较高的A、B类客户实行差异化动态管理。</w:t>
      </w:r>
    </w:p>
    <w:p w14:paraId="11F5332C">
      <w:pPr>
        <w:spacing w:line="440" w:lineRule="exact"/>
        <w:ind w:firstLine="480" w:firstLineChars="200"/>
        <w:rPr>
          <w:rFonts w:ascii="宋体" w:hAnsi="宋体" w:cs="宋体"/>
          <w:sz w:val="24"/>
        </w:rPr>
      </w:pPr>
    </w:p>
    <w:p w14:paraId="30CDE648">
      <w:pPr>
        <w:jc w:val="center"/>
      </w:pPr>
    </w:p>
    <w:p w14:paraId="241D6E72">
      <w:pPr>
        <w:jc w:val="cente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3194685</wp:posOffset>
                </wp:positionH>
                <wp:positionV relativeFrom="paragraph">
                  <wp:posOffset>2447290</wp:posOffset>
                </wp:positionV>
                <wp:extent cx="542290" cy="372110"/>
                <wp:effectExtent l="4445" t="4445" r="12065" b="17145"/>
                <wp:wrapNone/>
                <wp:docPr id="260" name="文本框 260"/>
                <wp:cNvGraphicFramePr/>
                <a:graphic xmlns:a="http://schemas.openxmlformats.org/drawingml/2006/main">
                  <a:graphicData uri="http://schemas.microsoft.com/office/word/2010/wordprocessingShape">
                    <wps:wsp>
                      <wps:cNvSpPr txBox="1"/>
                      <wps:spPr>
                        <a:xfrm>
                          <a:off x="0" y="0"/>
                          <a:ext cx="542260" cy="372140"/>
                        </a:xfrm>
                        <a:prstGeom prst="rect">
                          <a:avLst/>
                        </a:prstGeom>
                        <a:solidFill>
                          <a:schemeClr val="lt1"/>
                        </a:solidFill>
                        <a:ln w="6350">
                          <a:solidFill>
                            <a:prstClr val="black"/>
                          </a:solidFill>
                        </a:ln>
                      </wps:spPr>
                      <wps:txbx>
                        <w:txbxContent>
                          <w:p w14:paraId="677D80DB">
                            <w:r>
                              <w:rPr>
                                <w:rFonts w:hint="eastAsia"/>
                              </w:rPr>
                              <w:t>退出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55pt;margin-top:192.7pt;height:29.3pt;width:42.7pt;z-index:251663360;mso-width-relative:page;mso-height-relative:page;" fillcolor="#FFFFFF [3201]" filled="t" stroked="t" coordsize="21600,21600" o:gfxdata="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v8mETY&#10;AAAACwEAAA8AAAAAAAAAAQAgAAAAIgAAAGRycy9kb3ducmV2LnhtbFBLAQIUABQAAAAIAIdO4kCx&#10;aroDWQIAALoEAAAOAAAAAAAAAAEAIAAAACcBAABkcnMvZTJvRG9jLnhtbFBLBQYAAAAABgAGAFkB&#10;AADyBQAAAAA=&#10;">
                <v:fill on="t" focussize="0,0"/>
                <v:stroke weight="0.5pt" color="#000000" joinstyle="round"/>
                <v:imagedata o:title=""/>
                <o:lock v:ext="edit" aspectratio="f"/>
                <v:textbox>
                  <w:txbxContent>
                    <w:p w14:paraId="677D80DB">
                      <w:r>
                        <w:rPr>
                          <w:rFonts w:hint="eastAsia"/>
                        </w:rPr>
                        <w:t>退出</w:t>
                      </w:r>
                    </w:p>
                  </w:txbxContent>
                </v:textbox>
              </v:shape>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2599055</wp:posOffset>
                </wp:positionH>
                <wp:positionV relativeFrom="paragraph">
                  <wp:posOffset>2447290</wp:posOffset>
                </wp:positionV>
                <wp:extent cx="542290" cy="372110"/>
                <wp:effectExtent l="4445" t="4445" r="12065" b="17145"/>
                <wp:wrapNone/>
                <wp:docPr id="259" name="文本框 259"/>
                <wp:cNvGraphicFramePr/>
                <a:graphic xmlns:a="http://schemas.openxmlformats.org/drawingml/2006/main">
                  <a:graphicData uri="http://schemas.microsoft.com/office/word/2010/wordprocessingShape">
                    <wps:wsp>
                      <wps:cNvSpPr txBox="1"/>
                      <wps:spPr>
                        <a:xfrm>
                          <a:off x="0" y="0"/>
                          <a:ext cx="542260" cy="372140"/>
                        </a:xfrm>
                        <a:prstGeom prst="rect">
                          <a:avLst/>
                        </a:prstGeom>
                        <a:solidFill>
                          <a:schemeClr val="lt1"/>
                        </a:solidFill>
                        <a:ln w="6350">
                          <a:solidFill>
                            <a:prstClr val="black"/>
                          </a:solidFill>
                        </a:ln>
                      </wps:spPr>
                      <wps:txbx>
                        <w:txbxContent>
                          <w:p w14:paraId="431C8FD9">
                            <w:r>
                              <w:rPr>
                                <w:rFonts w:hint="eastAsia"/>
                              </w:rPr>
                              <w:t>压缩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65pt;margin-top:192.7pt;height:29.3pt;width:42.7pt;z-index:251662336;mso-width-relative:page;mso-height-relative:page;" fillcolor="#FFFFFF [3201]" filled="t" stroked="t" coordsize="21600,21600" o:gfxdata="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7z&#10;1dPYAAAACwEAAA8AAAAAAAAAAQAgAAAAIgAAAGRycy9kb3ducmV2LnhtbFBLAQIUABQAAAAIAIdO&#10;4kCtS8e6XAIAALoEAAAOAAAAAAAAAAEAIAAAACcBAABkcnMvZTJvRG9jLnhtbFBLBQYAAAAABgAG&#10;AFkBAAD1BQAAAAA=&#10;">
                <v:fill on="t" focussize="0,0"/>
                <v:stroke weight="0.5pt" color="#000000" joinstyle="round"/>
                <v:imagedata o:title=""/>
                <o:lock v:ext="edit" aspectratio="f"/>
                <v:textbox>
                  <w:txbxContent>
                    <w:p w14:paraId="431C8FD9">
                      <w:r>
                        <w:rPr>
                          <w:rFonts w:hint="eastAsia"/>
                        </w:rPr>
                        <w:t>压缩</w:t>
                      </w:r>
                    </w:p>
                  </w:txbxContent>
                </v:textbox>
              </v:shape>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2014220</wp:posOffset>
                </wp:positionH>
                <wp:positionV relativeFrom="paragraph">
                  <wp:posOffset>2446655</wp:posOffset>
                </wp:positionV>
                <wp:extent cx="542290" cy="372110"/>
                <wp:effectExtent l="4445" t="4445" r="12065" b="17145"/>
                <wp:wrapNone/>
                <wp:docPr id="68" name="文本框 68"/>
                <wp:cNvGraphicFramePr/>
                <a:graphic xmlns:a="http://schemas.openxmlformats.org/drawingml/2006/main">
                  <a:graphicData uri="http://schemas.microsoft.com/office/word/2010/wordprocessingShape">
                    <wps:wsp>
                      <wps:cNvSpPr txBox="1"/>
                      <wps:spPr>
                        <a:xfrm>
                          <a:off x="0" y="0"/>
                          <a:ext cx="542260" cy="372140"/>
                        </a:xfrm>
                        <a:prstGeom prst="rect">
                          <a:avLst/>
                        </a:prstGeom>
                        <a:solidFill>
                          <a:schemeClr val="lt1"/>
                        </a:solidFill>
                        <a:ln w="6350">
                          <a:solidFill>
                            <a:prstClr val="black"/>
                          </a:solidFill>
                        </a:ln>
                      </wps:spPr>
                      <wps:txbx>
                        <w:txbxContent>
                          <w:p w14:paraId="0C5DACAA">
                            <w:r>
                              <w:rPr>
                                <w:rFonts w:hint="eastAsia"/>
                              </w:rPr>
                              <w:t>谨慎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6pt;margin-top:192.65pt;height:29.3pt;width:42.7pt;z-index:251661312;mso-width-relative:page;mso-height-relative:page;" fillcolor="#FFFFFF [3201]" filled="t" stroked="t" coordsize="21600,21600" o:gfxdata="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619RdcA&#10;AAALAQAADwAAAAAAAAABACAAAAAiAAAAZHJzL2Rvd25yZXYueG1sUEsBAhQAFAAAAAgAh07iQP3X&#10;YlJZAgAAuAQAAA4AAAAAAAAAAQAgAAAAJgEAAGRycy9lMm9Eb2MueG1sUEsFBgAAAAAGAAYAWQEA&#10;APEFAAAAAA==&#10;">
                <v:fill on="t" focussize="0,0"/>
                <v:stroke weight="0.5pt" color="#000000" joinstyle="round"/>
                <v:imagedata o:title=""/>
                <o:lock v:ext="edit" aspectratio="f"/>
                <v:textbox>
                  <w:txbxContent>
                    <w:p w14:paraId="0C5DACAA">
                      <w:r>
                        <w:rPr>
                          <w:rFonts w:hint="eastAsia"/>
                        </w:rPr>
                        <w:t>谨慎</w:t>
                      </w:r>
                    </w:p>
                  </w:txbxContent>
                </v:textbox>
              </v:shape>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1429385</wp:posOffset>
                </wp:positionH>
                <wp:positionV relativeFrom="paragraph">
                  <wp:posOffset>2446655</wp:posOffset>
                </wp:positionV>
                <wp:extent cx="542290" cy="372110"/>
                <wp:effectExtent l="4445" t="4445" r="12065" b="17145"/>
                <wp:wrapNone/>
                <wp:docPr id="32" name="文本框 32"/>
                <wp:cNvGraphicFramePr/>
                <a:graphic xmlns:a="http://schemas.openxmlformats.org/drawingml/2006/main">
                  <a:graphicData uri="http://schemas.microsoft.com/office/word/2010/wordprocessingShape">
                    <wps:wsp>
                      <wps:cNvSpPr txBox="1"/>
                      <wps:spPr>
                        <a:xfrm>
                          <a:off x="0" y="0"/>
                          <a:ext cx="542260" cy="372140"/>
                        </a:xfrm>
                        <a:prstGeom prst="rect">
                          <a:avLst/>
                        </a:prstGeom>
                        <a:solidFill>
                          <a:schemeClr val="lt1"/>
                        </a:solidFill>
                        <a:ln w="6350">
                          <a:solidFill>
                            <a:prstClr val="black"/>
                          </a:solidFill>
                        </a:ln>
                      </wps:spPr>
                      <wps:txbx>
                        <w:txbxContent>
                          <w:p w14:paraId="517E779A">
                            <w:r>
                              <w:rPr>
                                <w:rFonts w:hint="eastAsia"/>
                              </w:rPr>
                              <w:t>支持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55pt;margin-top:192.65pt;height:29.3pt;width:42.7pt;z-index:251660288;mso-width-relative:page;mso-height-relative:page;" fillcolor="#FFFFFF [3201]" filled="t" stroked="t" coordsize="21600,21600" o:gfxdata="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7wVkO&#10;2AAAAAsBAAAPAAAAAAAAAAEAIAAAACIAAABkcnMvZG93bnJldi54bWxQSwECFAAUAAAACACHTuJA&#10;7Du4MFoCAAC4BAAADgAAAAAAAAABACAAAAAnAQAAZHJzL2Uyb0RvYy54bWxQSwUGAAAAAAYABgBZ&#10;AQAA8wUAAAAA&#10;">
                <v:fill on="t" focussize="0,0"/>
                <v:stroke weight="0.5pt" color="#000000" joinstyle="round"/>
                <v:imagedata o:title=""/>
                <o:lock v:ext="edit" aspectratio="f"/>
                <v:textbox>
                  <w:txbxContent>
                    <w:p w14:paraId="517E779A">
                      <w:r>
                        <w:rPr>
                          <w:rFonts w:hint="eastAsia"/>
                        </w:rPr>
                        <w:t>支持</w:t>
                      </w:r>
                    </w:p>
                  </w:txbxContent>
                </v:textbox>
              </v:shape>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1567180</wp:posOffset>
                </wp:positionH>
                <wp:positionV relativeFrom="paragraph">
                  <wp:posOffset>1671320</wp:posOffset>
                </wp:positionV>
                <wp:extent cx="2030730" cy="349885"/>
                <wp:effectExtent l="4445" t="5080" r="9525" b="13335"/>
                <wp:wrapNone/>
                <wp:docPr id="9" name="文本框 9"/>
                <wp:cNvGraphicFramePr/>
                <a:graphic xmlns:a="http://schemas.openxmlformats.org/drawingml/2006/main">
                  <a:graphicData uri="http://schemas.microsoft.com/office/word/2010/wordprocessingShape">
                    <wps:wsp>
                      <wps:cNvSpPr txBox="1"/>
                      <wps:spPr>
                        <a:xfrm>
                          <a:off x="0" y="0"/>
                          <a:ext cx="2030818" cy="350195"/>
                        </a:xfrm>
                        <a:prstGeom prst="rect">
                          <a:avLst/>
                        </a:prstGeom>
                        <a:solidFill>
                          <a:schemeClr val="lt1"/>
                        </a:solidFill>
                        <a:ln w="6350">
                          <a:solidFill>
                            <a:prstClr val="black"/>
                          </a:solidFill>
                        </a:ln>
                      </wps:spPr>
                      <wps:txbx>
                        <w:txbxContent>
                          <w:p w14:paraId="5FC54ECE">
                            <w:r>
                              <w:t>I级</w:t>
                            </w:r>
                            <w:r>
                              <w:rPr>
                                <w:rFonts w:hint="eastAsia"/>
                              </w:rPr>
                              <w:t xml:space="preserve"> </w:t>
                            </w:r>
                            <w:r>
                              <w:t xml:space="preserve">   II级</w:t>
                            </w:r>
                            <w:r>
                              <w:rPr>
                                <w:rFonts w:hint="eastAsia"/>
                              </w:rPr>
                              <w:t xml:space="preserve"> </w:t>
                            </w:r>
                            <w:r>
                              <w:t xml:space="preserve">    III级</w:t>
                            </w:r>
                            <w:r>
                              <w:rPr>
                                <w:rFonts w:hint="eastAsia"/>
                              </w:rPr>
                              <w:t xml:space="preserve"> </w:t>
                            </w:r>
                            <w:r>
                              <w:t xml:space="preserve">   IV</w:t>
                            </w:r>
                            <w:r>
                              <w:rPr>
                                <w:rFonts w:hint="eastAsia"/>
                              </w:rPr>
                              <w:t>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131.6pt;height:27.55pt;width:159.9pt;z-index:251659264;mso-width-relative:page;mso-height-relative:page;" fillcolor="#FFFFFF [3201]" filled="t" stroked="t" coordsize="21600,21600" o:gfxdata="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YluXnXAAAA&#10;CwEAAA8AAAAAAAAAAQAgAAAAIgAAAGRycy9kb3ducmV2LnhtbFBLAQIUABQAAAAIAIdO4kCCAQ2Q&#10;VwIAALcEAAAOAAAAAAAAAAEAIAAAACYBAABkcnMvZTJvRG9jLnhtbFBLBQYAAAAABgAGAFkBAADv&#10;BQAAAAA=&#10;">
                <v:fill on="t" focussize="0,0"/>
                <v:stroke weight="0.5pt" color="#000000" joinstyle="round"/>
                <v:imagedata o:title=""/>
                <o:lock v:ext="edit" aspectratio="f"/>
                <v:textbox>
                  <w:txbxContent>
                    <w:p w14:paraId="5FC54ECE">
                      <w:r>
                        <w:t>I级</w:t>
                      </w:r>
                      <w:r>
                        <w:rPr>
                          <w:rFonts w:hint="eastAsia"/>
                        </w:rPr>
                        <w:t xml:space="preserve"> </w:t>
                      </w:r>
                      <w:r>
                        <w:t xml:space="preserve">   II级</w:t>
                      </w:r>
                      <w:r>
                        <w:rPr>
                          <w:rFonts w:hint="eastAsia"/>
                        </w:rPr>
                        <w:t xml:space="preserve"> </w:t>
                      </w:r>
                      <w:r>
                        <w:t xml:space="preserve">    III级</w:t>
                      </w:r>
                      <w:r>
                        <w:rPr>
                          <w:rFonts w:hint="eastAsia"/>
                        </w:rPr>
                        <w:t xml:space="preserve"> </w:t>
                      </w:r>
                      <w:r>
                        <w:t xml:space="preserve">   IV</w:t>
                      </w:r>
                      <w:r>
                        <w:rPr>
                          <w:rFonts w:hint="eastAsia"/>
                        </w:rPr>
                        <w:t>级</w:t>
                      </w:r>
                    </w:p>
                  </w:txbxContent>
                </v:textbox>
              </v:shape>
            </w:pict>
          </mc:Fallback>
        </mc:AlternateContent>
      </w:r>
      <w:r>
        <w:rPr>
          <w:rFonts w:hint="eastAsia"/>
        </w:rPr>
        <w:drawing>
          <wp:inline distT="0" distB="0" distL="114300" distR="114300">
            <wp:extent cx="3232785" cy="2962910"/>
            <wp:effectExtent l="0" t="0" r="5715" b="8890"/>
            <wp:docPr id="219" name="图片 219" descr="C:\Users\24548\Desktop\微信图片_20211126174416.png微信图片_2021112617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C:\Users\24548\Desktop\微信图片_20211126174416.png微信图片_20211126174416"/>
                    <pic:cNvPicPr>
                      <a:picLocks noChangeAspect="1"/>
                    </pic:cNvPicPr>
                  </pic:nvPicPr>
                  <pic:blipFill>
                    <a:blip r:embed="rId12"/>
                    <a:srcRect l="28966"/>
                    <a:stretch>
                      <a:fillRect/>
                    </a:stretch>
                  </pic:blipFill>
                  <pic:spPr>
                    <a:xfrm>
                      <a:off x="0" y="0"/>
                      <a:ext cx="3233243" cy="2962910"/>
                    </a:xfrm>
                    <a:prstGeom prst="rect">
                      <a:avLst/>
                    </a:prstGeom>
                    <a:ln>
                      <a:noFill/>
                    </a:ln>
                  </pic:spPr>
                </pic:pic>
              </a:graphicData>
            </a:graphic>
          </wp:inline>
        </w:drawing>
      </w:r>
    </w:p>
    <w:p w14:paraId="7E8617A7">
      <w:pPr>
        <w:pStyle w:val="11"/>
      </w:pPr>
      <w:bookmarkStart w:id="2" w:name="_Hlk96354704"/>
      <w:bookmarkStart w:id="3" w:name="_Toc16492"/>
      <w:bookmarkStart w:id="4" w:name="_Toc8035"/>
      <w:r>
        <w:rPr>
          <w:rFonts w:hint="eastAsia" w:ascii="宋体" w:hAnsi="宋体" w:cs="宋体"/>
        </w:rPr>
        <w:t>浙江龙游农村商业银行</w:t>
      </w:r>
      <w:bookmarkEnd w:id="2"/>
      <w:r>
        <w:rPr>
          <w:rFonts w:hint="eastAsia"/>
        </w:rPr>
        <w:t>绿色信贷授信客户分类</w:t>
      </w:r>
      <w:bookmarkEnd w:id="3"/>
      <w:r>
        <w:rPr>
          <w:rFonts w:hint="eastAsia"/>
        </w:rPr>
        <w:t>及差异化管理</w:t>
      </w:r>
      <w:bookmarkEnd w:id="4"/>
    </w:p>
    <w:p w14:paraId="2ADA9C79">
      <w:pPr>
        <w:spacing w:line="440" w:lineRule="exact"/>
        <w:ind w:firstLine="643" w:firstLineChars="200"/>
        <w:rPr>
          <w:rFonts w:ascii="仿宋_GB2312" w:hAnsi="宋体" w:eastAsia="仿宋_GB2312" w:cs="宋体"/>
          <w:sz w:val="32"/>
          <w:szCs w:val="32"/>
        </w:rPr>
      </w:pPr>
      <w:r>
        <w:rPr>
          <w:rFonts w:hint="eastAsia" w:ascii="仿宋_GB2312" w:hAnsi="黑体" w:eastAsia="仿宋_GB2312"/>
          <w:b/>
          <w:bCs/>
          <w:color w:val="006400"/>
          <w:sz w:val="32"/>
          <w:szCs w:val="32"/>
          <w:lang w:val="en-US" w:eastAsia="zh-CN"/>
        </w:rPr>
        <w:t>*</w:t>
      </w:r>
      <w:r>
        <w:rPr>
          <w:rFonts w:hint="eastAsia" w:ascii="仿宋_GB2312" w:hAnsi="黑体" w:eastAsia="仿宋_GB2312"/>
          <w:b/>
          <w:bCs/>
          <w:color w:val="006400"/>
          <w:sz w:val="32"/>
          <w:szCs w:val="32"/>
        </w:rPr>
        <w:t>审查审批阶段</w:t>
      </w:r>
      <w:r>
        <w:rPr>
          <w:rFonts w:hint="eastAsia" w:ascii="仿宋_GB2312" w:hAnsi="宋体" w:eastAsia="仿宋_GB2312" w:cs="宋体"/>
          <w:sz w:val="32"/>
          <w:szCs w:val="32"/>
        </w:rPr>
        <w:t>，审查、审批岗对环境和社会风险调查内容的全面性、等级划分的准确性及结论的合理性等进行审核，特别是对纳入名单制绿色企业的合规性进行审核。</w:t>
      </w:r>
    </w:p>
    <w:p w14:paraId="3B662D2F">
      <w:pPr>
        <w:spacing w:line="440" w:lineRule="exact"/>
        <w:ind w:firstLine="643" w:firstLineChars="200"/>
        <w:rPr>
          <w:rFonts w:ascii="仿宋_GB2312" w:hAnsi="宋体" w:eastAsia="仿宋_GB2312" w:cs="宋体"/>
          <w:sz w:val="32"/>
          <w:szCs w:val="32"/>
        </w:rPr>
      </w:pPr>
      <w:r>
        <w:rPr>
          <w:rFonts w:hint="eastAsia" w:ascii="仿宋_GB2312" w:hAnsi="黑体" w:eastAsia="仿宋_GB2312"/>
          <w:b/>
          <w:bCs/>
          <w:color w:val="006400"/>
          <w:sz w:val="32"/>
          <w:szCs w:val="32"/>
          <w:lang w:val="en-US" w:eastAsia="zh-CN"/>
        </w:rPr>
        <w:t>*</w:t>
      </w:r>
      <w:r>
        <w:rPr>
          <w:rFonts w:hint="eastAsia" w:ascii="仿宋_GB2312" w:hAnsi="黑体" w:eastAsia="仿宋_GB2312"/>
          <w:b/>
          <w:bCs/>
          <w:color w:val="006400"/>
          <w:sz w:val="32"/>
          <w:szCs w:val="32"/>
        </w:rPr>
        <w:t>放款审核阶段</w:t>
      </w:r>
      <w:r>
        <w:rPr>
          <w:rFonts w:hint="eastAsia" w:ascii="仿宋_GB2312" w:hAnsi="宋体" w:eastAsia="仿宋_GB2312" w:cs="宋体"/>
          <w:sz w:val="32"/>
          <w:szCs w:val="32"/>
        </w:rPr>
        <w:t>，贷款审批后至放款日期间，客户经理关注客户的环境和社会风险情况，重点关注污染物排放水平和治理情况、环保及安全生产合规合法情况等，对于因环境违法违规造成责令停产、停业、关闭及以上处罚或因突发较大、重大、特大环境事故发生时，采取不予放款、中止直至信贷资金拨付等措施。</w:t>
      </w:r>
    </w:p>
    <w:p w14:paraId="207FF8FD">
      <w:pPr>
        <w:spacing w:line="440" w:lineRule="exact"/>
        <w:ind w:firstLine="643" w:firstLineChars="200"/>
        <w:rPr>
          <w:rFonts w:ascii="仿宋_GB2312" w:hAnsi="宋体" w:eastAsia="仿宋_GB2312" w:cs="宋体"/>
          <w:sz w:val="32"/>
          <w:szCs w:val="32"/>
        </w:rPr>
      </w:pPr>
      <w:r>
        <w:rPr>
          <w:rFonts w:hint="eastAsia" w:ascii="仿宋_GB2312" w:hAnsi="黑体" w:eastAsia="仿宋_GB2312"/>
          <w:b/>
          <w:bCs/>
          <w:color w:val="006400"/>
          <w:sz w:val="32"/>
          <w:szCs w:val="32"/>
          <w:lang w:val="en-US" w:eastAsia="zh-CN"/>
        </w:rPr>
        <w:t>*</w:t>
      </w:r>
      <w:r>
        <w:rPr>
          <w:rFonts w:hint="eastAsia" w:ascii="仿宋_GB2312" w:hAnsi="黑体" w:eastAsia="仿宋_GB2312"/>
          <w:b/>
          <w:bCs/>
          <w:color w:val="006400"/>
          <w:sz w:val="32"/>
          <w:szCs w:val="32"/>
        </w:rPr>
        <w:t>贷后管理阶段</w:t>
      </w:r>
      <w:r>
        <w:rPr>
          <w:rFonts w:hint="eastAsia" w:ascii="仿宋_GB2312" w:hAnsi="宋体" w:eastAsia="仿宋_GB2312" w:cs="宋体"/>
          <w:sz w:val="32"/>
          <w:szCs w:val="32"/>
        </w:rPr>
        <w:t>，我行定期与不定期开展环境和社会风险信息的收集更新，根据实际情况实时动态调整相应等级，其中100万元以下存量客户在重新授信前进行评级，100万元及以上存量客户每年至少评级1次。对贷后降级且造成重大环境负面影响，引发信贷风险和声誉损失，针对环境和社会风险分类等级为</w:t>
      </w:r>
      <w:r>
        <w:rPr>
          <w:rFonts w:hint="eastAsia" w:ascii="仿宋_GB2312" w:eastAsia="仿宋_GB2312" w:hAnsiTheme="minorEastAsia" w:cstheme="minorEastAsia"/>
          <w:sz w:val="32"/>
          <w:szCs w:val="32"/>
        </w:rPr>
        <w:t>III级、IV四级的客户，须在借款合同签订同时，要求客户签订《环境和社会风险管理承诺书》。</w:t>
      </w:r>
    </w:p>
    <w:p w14:paraId="68642FC0">
      <w:pPr>
        <w:spacing w:line="440" w:lineRule="exact"/>
        <w:ind w:firstLine="640" w:firstLineChars="200"/>
        <w:rPr>
          <w:rFonts w:hint="eastAsia" w:ascii="仿宋_GB2312" w:hAnsi="宋体" w:eastAsia="仿宋_GB2312" w:cs="宋体"/>
          <w:sz w:val="32"/>
          <w:szCs w:val="32"/>
        </w:rPr>
      </w:pPr>
      <w:r>
        <w:rPr>
          <w:rFonts w:hint="eastAsia" w:ascii="仿宋_GB2312" w:hAnsi="宋体" w:eastAsia="仿宋_GB2312" w:cs="宋体"/>
          <w:sz w:val="32"/>
          <w:szCs w:val="32"/>
        </w:rPr>
        <w:t>浙江龙游农村商业银行风险合规部根据银保监会要求，牵头进行绿色信贷尽责问责和问责制度，不断提升客户经理推进绿色信贷的积极性，同时培养合规意识。</w:t>
      </w:r>
    </w:p>
    <w:p w14:paraId="7B53F39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b w:val="0"/>
          <w:bCs w:val="0"/>
          <w:color w:val="006400"/>
          <w:sz w:val="32"/>
          <w:szCs w:val="32"/>
        </w:rPr>
      </w:pPr>
      <w:r>
        <w:rPr>
          <w:rFonts w:hint="eastAsia" w:ascii="方正楷体_GB2312" w:hAnsi="方正楷体_GB2312" w:eastAsia="方正楷体_GB2312" w:cs="方正楷体_GB2312"/>
          <w:b w:val="0"/>
          <w:bCs w:val="0"/>
          <w:color w:val="006400"/>
          <w:sz w:val="32"/>
          <w:szCs w:val="32"/>
        </w:rPr>
        <w:t>（三）信息披露</w:t>
      </w:r>
    </w:p>
    <w:p w14:paraId="4FBC2A74">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定期报告</w:t>
      </w:r>
    </w:p>
    <w:p w14:paraId="51F0AA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按时披露定期报告，真实、准确、完整地反映公司经营状况和财务状况</w:t>
      </w:r>
      <w:r>
        <w:rPr>
          <w:rFonts w:hint="eastAsia" w:ascii="仿宋_GB2312" w:hAnsi="仿宋_GB2312" w:eastAsia="仿宋_GB2312" w:cs="仿宋_GB2312"/>
          <w:sz w:val="32"/>
          <w:szCs w:val="32"/>
          <w:lang w:val="en-US" w:eastAsia="zh-CN"/>
        </w:rPr>
        <w:t>,以下为部分重要信息披露。</w:t>
      </w:r>
    </w:p>
    <w:tbl>
      <w:tblPr>
        <w:tblStyle w:val="7"/>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57"/>
        <w:gridCol w:w="1415"/>
      </w:tblGrid>
      <w:tr w14:paraId="3F029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57" w:type="dxa"/>
            <w:tcBorders>
              <w:top w:val="single" w:color="auto" w:sz="4" w:space="0"/>
              <w:left w:val="single" w:color="auto" w:sz="4" w:space="0"/>
              <w:bottom w:val="single" w:color="auto" w:sz="4" w:space="0"/>
              <w:right w:val="single" w:color="auto" w:sz="4" w:space="0"/>
            </w:tcBorders>
            <w:shd w:val="clear" w:color="auto" w:fill="92D050"/>
            <w:vAlign w:val="center"/>
          </w:tcPr>
          <w:p w14:paraId="2EA3D5C2">
            <w:pPr>
              <w:widowControl/>
              <w:spacing w:line="560" w:lineRule="exact"/>
              <w:jc w:val="center"/>
              <w:rPr>
                <w:rFonts w:ascii="Times New Roman" w:hAnsi="Times New Roman" w:eastAsia="楷体" w:cs="Times New Roman"/>
                <w:color w:val="auto"/>
                <w:kern w:val="0"/>
                <w:sz w:val="22"/>
                <w:szCs w:val="22"/>
                <w:lang w:bidi="ar"/>
              </w:rPr>
            </w:pPr>
            <w:r>
              <w:rPr>
                <w:rFonts w:hint="eastAsia" w:ascii="Times New Roman" w:hAnsi="Times New Roman" w:eastAsia="楷体" w:cs="Times New Roman"/>
                <w:color w:val="auto"/>
                <w:kern w:val="0"/>
                <w:sz w:val="22"/>
                <w:szCs w:val="22"/>
                <w:lang w:val="en-US" w:eastAsia="zh-CN" w:bidi="ar"/>
              </w:rPr>
              <w:t>定期信息披露名称</w:t>
            </w:r>
          </w:p>
        </w:tc>
        <w:tc>
          <w:tcPr>
            <w:tcW w:w="1415" w:type="dxa"/>
            <w:tcBorders>
              <w:top w:val="single" w:color="auto" w:sz="4" w:space="0"/>
              <w:left w:val="single" w:color="auto" w:sz="4" w:space="0"/>
              <w:bottom w:val="single" w:color="auto" w:sz="4" w:space="0"/>
              <w:right w:val="single" w:color="auto" w:sz="4" w:space="0"/>
            </w:tcBorders>
            <w:shd w:val="clear" w:color="auto" w:fill="92D050"/>
            <w:vAlign w:val="center"/>
          </w:tcPr>
          <w:p w14:paraId="167D1C0F">
            <w:pPr>
              <w:widowControl/>
              <w:spacing w:line="560" w:lineRule="exact"/>
              <w:jc w:val="center"/>
              <w:rPr>
                <w:rFonts w:hint="default" w:ascii="Times New Roman" w:hAnsi="Times New Roman" w:eastAsia="楷体" w:cs="Times New Roman"/>
                <w:color w:val="auto"/>
                <w:kern w:val="0"/>
                <w:sz w:val="22"/>
                <w:szCs w:val="22"/>
                <w:lang w:val="en-US" w:eastAsia="zh-CN" w:bidi="ar"/>
              </w:rPr>
            </w:pPr>
            <w:r>
              <w:rPr>
                <w:rFonts w:hint="eastAsia" w:ascii="Times New Roman" w:hAnsi="Times New Roman" w:eastAsia="楷体" w:cs="Times New Roman"/>
                <w:color w:val="auto"/>
                <w:kern w:val="0"/>
                <w:sz w:val="22"/>
                <w:szCs w:val="22"/>
                <w:lang w:val="en-US" w:eastAsia="zh-CN" w:bidi="ar"/>
              </w:rPr>
              <w:t>频次</w:t>
            </w:r>
          </w:p>
        </w:tc>
      </w:tr>
      <w:tr w14:paraId="07038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57" w:type="dxa"/>
            <w:tcBorders>
              <w:top w:val="single" w:color="auto" w:sz="4" w:space="0"/>
              <w:left w:val="single" w:color="auto" w:sz="4" w:space="0"/>
              <w:bottom w:val="single" w:color="auto" w:sz="4" w:space="0"/>
              <w:right w:val="single" w:color="auto" w:sz="4" w:space="0"/>
            </w:tcBorders>
            <w:shd w:val="clear" w:color="auto" w:fill="auto"/>
            <w:vAlign w:val="center"/>
          </w:tcPr>
          <w:p w14:paraId="4A094E4C">
            <w:pPr>
              <w:rPr>
                <w:color w:val="auto"/>
              </w:rPr>
            </w:pPr>
            <w:r>
              <w:rPr>
                <w:rFonts w:hint="eastAsia"/>
                <w:color w:val="auto"/>
              </w:rPr>
              <w:t>浙江龙游农村商业银行股份有限公司环境信息披露报告</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14:paraId="1375FD01">
            <w:pPr>
              <w:rPr>
                <w:rFonts w:hint="eastAsia" w:asciiTheme="minorHAnsi" w:hAnsiTheme="minorHAnsi" w:eastAsiaTheme="minorEastAsia" w:cstheme="minorBidi"/>
                <w:color w:val="auto"/>
                <w:kern w:val="2"/>
                <w:sz w:val="21"/>
                <w:szCs w:val="24"/>
                <w:lang w:val="en-US" w:eastAsia="zh-CN" w:bidi="ar-SA"/>
              </w:rPr>
            </w:pPr>
            <w:r>
              <w:rPr>
                <w:rFonts w:hint="eastAsia"/>
                <w:color w:val="auto"/>
                <w:lang w:val="en-US" w:eastAsia="zh-CN"/>
              </w:rPr>
              <w:t>季度</w:t>
            </w:r>
          </w:p>
        </w:tc>
      </w:tr>
      <w:tr w14:paraId="1055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5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0FC2AE9A">
            <w:pPr>
              <w:rPr>
                <w:color w:val="auto"/>
              </w:rPr>
            </w:pPr>
            <w:r>
              <w:rPr>
                <w:rFonts w:hint="eastAsia"/>
                <w:color w:val="auto"/>
              </w:rPr>
              <w:t>浙江龙游农村商业银行股份有限公司第三支柱信息披露报告</w:t>
            </w:r>
          </w:p>
        </w:tc>
        <w:tc>
          <w:tcPr>
            <w:tcW w:w="1415"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AD69390">
            <w:pPr>
              <w:rPr>
                <w:color w:val="auto"/>
              </w:rPr>
            </w:pPr>
            <w:r>
              <w:rPr>
                <w:rFonts w:hint="eastAsia"/>
                <w:color w:val="auto"/>
                <w:lang w:val="en-US" w:eastAsia="zh-CN"/>
              </w:rPr>
              <w:t>季度</w:t>
            </w:r>
          </w:p>
        </w:tc>
      </w:tr>
      <w:tr w14:paraId="53C75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57" w:type="dxa"/>
            <w:tcBorders>
              <w:top w:val="single" w:color="auto" w:sz="4" w:space="0"/>
              <w:left w:val="single" w:color="auto" w:sz="4" w:space="0"/>
              <w:bottom w:val="single" w:color="auto" w:sz="4" w:space="0"/>
              <w:right w:val="single" w:color="auto" w:sz="4" w:space="0"/>
            </w:tcBorders>
            <w:shd w:val="clear" w:color="auto" w:fill="auto"/>
            <w:vAlign w:val="center"/>
          </w:tcPr>
          <w:p w14:paraId="4CFF0CB4">
            <w:pPr>
              <w:rPr>
                <w:rFonts w:hint="eastAsia"/>
                <w:color w:val="auto"/>
              </w:rPr>
            </w:pPr>
            <w:r>
              <w:rPr>
                <w:rFonts w:hint="eastAsia"/>
                <w:color w:val="auto"/>
              </w:rPr>
              <w:t>浙江龙游农村商业银行股份有限公司关于一般关联交易情况的公告</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14:paraId="55D2CEA9">
            <w:pPr>
              <w:rPr>
                <w:color w:val="auto"/>
              </w:rPr>
            </w:pPr>
            <w:r>
              <w:rPr>
                <w:rFonts w:hint="eastAsia"/>
                <w:color w:val="auto"/>
                <w:lang w:val="en-US" w:eastAsia="zh-CN"/>
              </w:rPr>
              <w:t>季度</w:t>
            </w:r>
          </w:p>
        </w:tc>
      </w:tr>
      <w:tr w14:paraId="7EF75C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57"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1321926">
            <w:pPr>
              <w:rPr>
                <w:rFonts w:hint="eastAsia"/>
                <w:color w:val="auto"/>
              </w:rPr>
            </w:pPr>
            <w:r>
              <w:rPr>
                <w:rFonts w:hint="eastAsia"/>
                <w:color w:val="auto"/>
              </w:rPr>
              <w:t>龙游农商银行消费者权益保护工作信息披露</w:t>
            </w:r>
          </w:p>
        </w:tc>
        <w:tc>
          <w:tcPr>
            <w:tcW w:w="1415"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005DC06">
            <w:pPr>
              <w:rPr>
                <w:color w:val="auto"/>
              </w:rPr>
            </w:pPr>
            <w:r>
              <w:rPr>
                <w:rFonts w:hint="eastAsia"/>
                <w:color w:val="auto"/>
                <w:lang w:val="en-US" w:eastAsia="zh-CN"/>
              </w:rPr>
              <w:t>年度</w:t>
            </w:r>
          </w:p>
        </w:tc>
      </w:tr>
      <w:tr w14:paraId="771E1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957" w:type="dxa"/>
            <w:tcBorders>
              <w:top w:val="single" w:color="auto" w:sz="4" w:space="0"/>
              <w:left w:val="single" w:color="auto" w:sz="4" w:space="0"/>
              <w:bottom w:val="single" w:color="auto" w:sz="4" w:space="0"/>
              <w:right w:val="single" w:color="auto" w:sz="4" w:space="0"/>
            </w:tcBorders>
            <w:shd w:val="clear" w:color="auto" w:fill="auto"/>
            <w:vAlign w:val="center"/>
          </w:tcPr>
          <w:p w14:paraId="17B0ACF5">
            <w:pPr>
              <w:rPr>
                <w:rFonts w:hint="eastAsia"/>
                <w:color w:val="auto"/>
              </w:rPr>
            </w:pPr>
            <w:r>
              <w:rPr>
                <w:rFonts w:hint="eastAsia"/>
                <w:color w:val="auto"/>
              </w:rPr>
              <w:t>龙游农商银行绿色金融工作信息披露</w:t>
            </w:r>
          </w:p>
        </w:tc>
        <w:tc>
          <w:tcPr>
            <w:tcW w:w="1415" w:type="dxa"/>
            <w:tcBorders>
              <w:top w:val="single" w:color="auto" w:sz="4" w:space="0"/>
              <w:left w:val="single" w:color="auto" w:sz="4" w:space="0"/>
              <w:bottom w:val="single" w:color="auto" w:sz="4" w:space="0"/>
              <w:right w:val="single" w:color="auto" w:sz="4" w:space="0"/>
            </w:tcBorders>
            <w:shd w:val="clear" w:color="auto" w:fill="auto"/>
            <w:vAlign w:val="center"/>
          </w:tcPr>
          <w:p w14:paraId="17C41D5F">
            <w:pPr>
              <w:rPr>
                <w:rFonts w:hint="eastAsia" w:eastAsiaTheme="minorEastAsia"/>
                <w:color w:val="auto"/>
                <w:lang w:val="en-US" w:eastAsia="zh-CN"/>
              </w:rPr>
            </w:pPr>
            <w:r>
              <w:rPr>
                <w:rFonts w:hint="eastAsia"/>
                <w:color w:val="auto"/>
                <w:lang w:val="en-US" w:eastAsia="zh-CN"/>
              </w:rPr>
              <w:t>年度</w:t>
            </w:r>
          </w:p>
        </w:tc>
      </w:tr>
    </w:tbl>
    <w:p w14:paraId="1B9F0475">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临时公告</w:t>
      </w:r>
    </w:p>
    <w:p w14:paraId="264B70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及时披露重大事项，保障投资者知情权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以下为部分重要信息披露。</w:t>
      </w:r>
    </w:p>
    <w:tbl>
      <w:tblPr>
        <w:tblStyle w:val="7"/>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43"/>
        <w:gridCol w:w="1336"/>
      </w:tblGrid>
      <w:tr w14:paraId="70727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043" w:type="dxa"/>
            <w:tcBorders>
              <w:top w:val="single" w:color="auto" w:sz="4" w:space="0"/>
              <w:left w:val="single" w:color="auto" w:sz="4" w:space="0"/>
              <w:bottom w:val="single" w:color="auto" w:sz="4" w:space="0"/>
              <w:right w:val="single" w:color="auto" w:sz="4" w:space="0"/>
            </w:tcBorders>
            <w:shd w:val="clear" w:color="auto" w:fill="92D050"/>
            <w:vAlign w:val="center"/>
          </w:tcPr>
          <w:p w14:paraId="5A2CDF1A">
            <w:pPr>
              <w:widowControl/>
              <w:spacing w:line="560" w:lineRule="exact"/>
              <w:jc w:val="center"/>
              <w:rPr>
                <w:rFonts w:ascii="Times New Roman" w:hAnsi="Times New Roman" w:eastAsia="楷体" w:cs="Times New Roman"/>
                <w:color w:val="auto"/>
                <w:kern w:val="0"/>
                <w:sz w:val="22"/>
                <w:szCs w:val="22"/>
                <w:lang w:bidi="ar"/>
              </w:rPr>
            </w:pPr>
            <w:r>
              <w:rPr>
                <w:rFonts w:hint="eastAsia" w:ascii="Times New Roman" w:hAnsi="Times New Roman" w:eastAsia="楷体" w:cs="Times New Roman"/>
                <w:color w:val="auto"/>
                <w:kern w:val="0"/>
                <w:sz w:val="22"/>
                <w:szCs w:val="22"/>
                <w:lang w:val="en-US" w:eastAsia="zh-CN" w:bidi="ar"/>
              </w:rPr>
              <w:t>临时信息披露名称</w:t>
            </w:r>
          </w:p>
        </w:tc>
        <w:tc>
          <w:tcPr>
            <w:tcW w:w="1336" w:type="dxa"/>
            <w:tcBorders>
              <w:top w:val="single" w:color="auto" w:sz="4" w:space="0"/>
              <w:left w:val="single" w:color="auto" w:sz="4" w:space="0"/>
              <w:bottom w:val="single" w:color="auto" w:sz="4" w:space="0"/>
              <w:right w:val="single" w:color="auto" w:sz="4" w:space="0"/>
            </w:tcBorders>
            <w:shd w:val="clear" w:color="auto" w:fill="92D050"/>
            <w:vAlign w:val="center"/>
          </w:tcPr>
          <w:p w14:paraId="444BE0DB">
            <w:pPr>
              <w:widowControl/>
              <w:spacing w:line="560" w:lineRule="exact"/>
              <w:jc w:val="center"/>
              <w:rPr>
                <w:rFonts w:hint="default" w:ascii="Times New Roman" w:hAnsi="Times New Roman" w:eastAsia="楷体" w:cs="Times New Roman"/>
                <w:color w:val="auto"/>
                <w:kern w:val="0"/>
                <w:sz w:val="22"/>
                <w:szCs w:val="22"/>
                <w:lang w:val="en-US" w:eastAsia="zh-CN" w:bidi="ar"/>
              </w:rPr>
            </w:pPr>
            <w:r>
              <w:rPr>
                <w:rFonts w:hint="eastAsia" w:ascii="Times New Roman" w:hAnsi="Times New Roman" w:eastAsia="楷体" w:cs="Times New Roman"/>
                <w:color w:val="auto"/>
                <w:kern w:val="0"/>
                <w:sz w:val="22"/>
                <w:szCs w:val="22"/>
                <w:lang w:val="en-US" w:eastAsia="zh-CN" w:bidi="ar"/>
              </w:rPr>
              <w:t>披露时间</w:t>
            </w:r>
          </w:p>
        </w:tc>
      </w:tr>
      <w:tr w14:paraId="455B3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043" w:type="dxa"/>
            <w:tcBorders>
              <w:top w:val="single" w:color="auto" w:sz="4" w:space="0"/>
              <w:left w:val="single" w:color="auto" w:sz="4" w:space="0"/>
              <w:bottom w:val="single" w:color="auto" w:sz="4" w:space="0"/>
              <w:right w:val="single" w:color="auto" w:sz="4" w:space="0"/>
            </w:tcBorders>
            <w:shd w:val="clear" w:color="auto" w:fill="auto"/>
            <w:vAlign w:val="center"/>
          </w:tcPr>
          <w:p w14:paraId="19BA0098">
            <w:pPr>
              <w:rPr>
                <w:color w:val="auto"/>
              </w:rPr>
            </w:pPr>
            <w:r>
              <w:rPr>
                <w:rFonts w:hint="eastAsia"/>
                <w:color w:val="auto"/>
              </w:rPr>
              <w:t>浙江龙游农村商业银行股份有限公司关于行政处罚事项的临时信息披露报告</w:t>
            </w:r>
          </w:p>
        </w:tc>
        <w:tc>
          <w:tcPr>
            <w:tcW w:w="1336" w:type="dxa"/>
            <w:tcBorders>
              <w:top w:val="single" w:color="auto" w:sz="4" w:space="0"/>
              <w:left w:val="single" w:color="auto" w:sz="4" w:space="0"/>
              <w:bottom w:val="single" w:color="auto" w:sz="4" w:space="0"/>
              <w:right w:val="single" w:color="auto" w:sz="4" w:space="0"/>
            </w:tcBorders>
            <w:shd w:val="clear" w:color="auto" w:fill="auto"/>
            <w:vAlign w:val="center"/>
          </w:tcPr>
          <w:p w14:paraId="1AA81DB5">
            <w:pPr>
              <w:rPr>
                <w:color w:val="auto"/>
              </w:rPr>
            </w:pPr>
            <w:r>
              <w:rPr>
                <w:rFonts w:hint="eastAsia"/>
                <w:color w:val="auto"/>
              </w:rPr>
              <w:t>2024-07-09</w:t>
            </w:r>
            <w:r>
              <w:rPr>
                <w:rFonts w:hint="eastAsia"/>
                <w:color w:val="auto"/>
                <w:lang w:val="en-US" w:eastAsia="zh-CN"/>
              </w:rPr>
              <w:t>/</w:t>
            </w:r>
            <w:r>
              <w:rPr>
                <w:rFonts w:hint="eastAsia"/>
                <w:color w:val="auto"/>
              </w:rPr>
              <w:t>2025-01-08</w:t>
            </w:r>
          </w:p>
        </w:tc>
      </w:tr>
      <w:tr w14:paraId="4A57D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043"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5464936">
            <w:pPr>
              <w:rPr>
                <w:color w:val="auto"/>
              </w:rPr>
            </w:pPr>
            <w:r>
              <w:rPr>
                <w:rFonts w:hint="eastAsia"/>
                <w:color w:val="auto"/>
              </w:rPr>
              <w:t>浙江龙游农村商业银行股份有限公司关于变更注册资本的公告</w:t>
            </w:r>
          </w:p>
        </w:tc>
        <w:tc>
          <w:tcPr>
            <w:tcW w:w="133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3C9455C8">
            <w:pPr>
              <w:rPr>
                <w:rFonts w:hint="default"/>
                <w:color w:val="auto"/>
                <w:lang w:val="en-US"/>
              </w:rPr>
            </w:pPr>
            <w:r>
              <w:rPr>
                <w:rFonts w:hint="eastAsia"/>
                <w:color w:val="auto"/>
              </w:rPr>
              <w:t>2024-0</w:t>
            </w:r>
            <w:r>
              <w:rPr>
                <w:rFonts w:hint="eastAsia"/>
                <w:color w:val="auto"/>
                <w:lang w:val="en-US" w:eastAsia="zh-CN"/>
              </w:rPr>
              <w:t>7-17</w:t>
            </w:r>
          </w:p>
        </w:tc>
      </w:tr>
      <w:tr w14:paraId="5E100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043" w:type="dxa"/>
            <w:tcBorders>
              <w:top w:val="single" w:color="auto" w:sz="4" w:space="0"/>
              <w:left w:val="single" w:color="auto" w:sz="4" w:space="0"/>
              <w:bottom w:val="single" w:color="auto" w:sz="4" w:space="0"/>
              <w:right w:val="single" w:color="auto" w:sz="4" w:space="0"/>
            </w:tcBorders>
            <w:shd w:val="clear" w:color="auto" w:fill="auto"/>
            <w:vAlign w:val="center"/>
          </w:tcPr>
          <w:p w14:paraId="577C1D37">
            <w:pPr>
              <w:rPr>
                <w:rFonts w:hint="eastAsia"/>
                <w:color w:val="auto"/>
              </w:rPr>
            </w:pPr>
            <w:r>
              <w:rPr>
                <w:rFonts w:hint="eastAsia"/>
                <w:color w:val="auto"/>
              </w:rPr>
              <w:t>浙江龙游农村商业银行股份有限公司关于聘用2024年度会计报表审计单位的公告</w:t>
            </w:r>
          </w:p>
        </w:tc>
        <w:tc>
          <w:tcPr>
            <w:tcW w:w="1336" w:type="dxa"/>
            <w:tcBorders>
              <w:top w:val="single" w:color="auto" w:sz="4" w:space="0"/>
              <w:left w:val="single" w:color="auto" w:sz="4" w:space="0"/>
              <w:bottom w:val="single" w:color="auto" w:sz="4" w:space="0"/>
              <w:right w:val="single" w:color="auto" w:sz="4" w:space="0"/>
            </w:tcBorders>
            <w:shd w:val="clear" w:color="auto" w:fill="auto"/>
            <w:vAlign w:val="center"/>
          </w:tcPr>
          <w:p w14:paraId="07A11457">
            <w:pPr>
              <w:rPr>
                <w:color w:val="auto"/>
              </w:rPr>
            </w:pPr>
            <w:r>
              <w:rPr>
                <w:rFonts w:hint="eastAsia"/>
                <w:color w:val="auto"/>
              </w:rPr>
              <w:t>2024-04-26</w:t>
            </w:r>
          </w:p>
        </w:tc>
      </w:tr>
      <w:tr w14:paraId="14F207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043"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2838B981">
            <w:pPr>
              <w:rPr>
                <w:rFonts w:hint="eastAsia"/>
                <w:color w:val="auto"/>
              </w:rPr>
            </w:pPr>
            <w:r>
              <w:rPr>
                <w:rFonts w:hint="eastAsia"/>
                <w:color w:val="auto"/>
              </w:rPr>
              <w:t>浙江龙游农村商业银行股份有限公司2023年度股东大会决议公告</w:t>
            </w:r>
          </w:p>
        </w:tc>
        <w:tc>
          <w:tcPr>
            <w:tcW w:w="1336" w:type="dxa"/>
            <w:tcBorders>
              <w:top w:val="single" w:color="auto" w:sz="4" w:space="0"/>
              <w:left w:val="single" w:color="auto" w:sz="4" w:space="0"/>
              <w:bottom w:val="single" w:color="auto" w:sz="4" w:space="0"/>
              <w:right w:val="single" w:color="auto" w:sz="4" w:space="0"/>
            </w:tcBorders>
            <w:shd w:val="clear" w:color="auto" w:fill="E3F2D9" w:themeFill="accent4" w:themeFillTint="32"/>
            <w:vAlign w:val="center"/>
          </w:tcPr>
          <w:p w14:paraId="0FD72AB7">
            <w:pPr>
              <w:rPr>
                <w:color w:val="auto"/>
              </w:rPr>
            </w:pPr>
            <w:r>
              <w:rPr>
                <w:rFonts w:hint="eastAsia"/>
                <w:color w:val="auto"/>
              </w:rPr>
              <w:t xml:space="preserve">2024-04-26 </w:t>
            </w:r>
          </w:p>
        </w:tc>
      </w:tr>
    </w:tbl>
    <w:p w14:paraId="4CF8B714">
      <w:pPr>
        <w:pStyle w:val="2"/>
        <w:ind w:left="0" w:leftChars="0" w:firstLine="0" w:firstLineChars="0"/>
        <w:rPr>
          <w:rFonts w:hint="eastAsia"/>
        </w:rPr>
      </w:pPr>
    </w:p>
    <w:p w14:paraId="43979D6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color w:val="006400"/>
          <w:sz w:val="32"/>
          <w:szCs w:val="32"/>
        </w:rPr>
      </w:pPr>
      <w:r>
        <w:rPr>
          <w:rFonts w:hint="eastAsia" w:ascii="黑体" w:hAnsi="黑体" w:eastAsia="黑体" w:cs="黑体"/>
          <w:b/>
          <w:bCs/>
          <w:color w:val="006400"/>
          <w:sz w:val="32"/>
          <w:szCs w:val="32"/>
        </w:rPr>
        <w:t>五、未来展望</w:t>
      </w:r>
    </w:p>
    <w:p w14:paraId="0E0BD3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龙游农商银行将继续秉持可持续发展理念，积极履行社会责任，不断提升ESG管理水平。未来，我行将以绿色金融为核心，推动环境、社会和治理（ESG）的深度融合，致力于成为区域绿色金融的引领者和可持续发展的践行者。以下是我们在未来几年的具体目标和行动计划：</w:t>
      </w:r>
    </w:p>
    <w:p w14:paraId="7FBE74C5">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深化绿色金融创新，助力“双碳”目标实现</w:t>
      </w:r>
    </w:p>
    <w:p w14:paraId="672BDD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随着全球气候变化问题的加剧，中国提出了“碳达峰、碳中和”的“双碳”目标。作为金融机构，我行有责任通过绿色金融创新，推动低碳经济的发展。</w:t>
      </w:r>
    </w:p>
    <w:p w14:paraId="3D4CE0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绿色信贷规模：到2028年，绿色信贷余额占全行贷款总额的比例提升至</w:t>
      </w:r>
      <w:r>
        <w:rPr>
          <w:rFonts w:hint="eastAsia" w:ascii="仿宋_GB2312" w:hAnsi="仿宋_GB2312" w:eastAsia="仿宋_GB2312" w:cs="仿宋_GB2312"/>
          <w:sz w:val="32"/>
          <w:szCs w:val="32"/>
          <w:lang w:val="en-US" w:eastAsia="zh-CN"/>
        </w:rPr>
        <w:t>45</w:t>
      </w:r>
      <w:r>
        <w:rPr>
          <w:rFonts w:hint="eastAsia" w:ascii="仿宋_GB2312" w:hAnsi="仿宋_GB2312" w:eastAsia="仿宋_GB2312" w:cs="仿宋_GB2312"/>
          <w:sz w:val="32"/>
          <w:szCs w:val="32"/>
        </w:rPr>
        <w:t>%以上，力争绿色贷款余额突破1</w:t>
      </w:r>
      <w:r>
        <w:rPr>
          <w:rFonts w:hint="eastAsia" w:ascii="仿宋_GB2312" w:hAnsi="仿宋_GB2312" w:eastAsia="仿宋_GB2312" w:cs="仿宋_GB2312"/>
          <w:sz w:val="32"/>
          <w:szCs w:val="32"/>
          <w:lang w:val="en-US" w:eastAsia="zh-CN"/>
        </w:rPr>
        <w:t>00</w:t>
      </w:r>
      <w:r>
        <w:rPr>
          <w:rFonts w:hint="eastAsia" w:ascii="仿宋_GB2312" w:hAnsi="仿宋_GB2312" w:eastAsia="仿宋_GB2312" w:cs="仿宋_GB2312"/>
          <w:sz w:val="32"/>
          <w:szCs w:val="32"/>
        </w:rPr>
        <w:t>亿元。</w:t>
      </w:r>
    </w:p>
    <w:p w14:paraId="1DFA1E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碳金融业务：进一步推广碳账户金融业务，计划在未来五年内累计发放碳金融贷款5000笔，总额达到</w:t>
      </w:r>
      <w:r>
        <w:rPr>
          <w:rFonts w:hint="eastAsia" w:ascii="仿宋_GB2312" w:hAnsi="仿宋_GB2312" w:eastAsia="仿宋_GB2312" w:cs="仿宋_GB2312"/>
          <w:sz w:val="32"/>
          <w:szCs w:val="32"/>
          <w:lang w:val="en-US" w:eastAsia="zh-CN"/>
        </w:rPr>
        <w:t>50</w:t>
      </w:r>
      <w:r>
        <w:rPr>
          <w:rFonts w:hint="eastAsia" w:ascii="仿宋_GB2312" w:hAnsi="仿宋_GB2312" w:eastAsia="仿宋_GB2312" w:cs="仿宋_GB2312"/>
          <w:sz w:val="32"/>
          <w:szCs w:val="32"/>
        </w:rPr>
        <w:t>亿元，支持企业和个人实现碳减排目标。</w:t>
      </w:r>
    </w:p>
    <w:p w14:paraId="7CB65362">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强化环境风险管理，提升可持续发展能力</w:t>
      </w:r>
    </w:p>
    <w:p w14:paraId="44C815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环境风险管理是金融机构应对气候变化和环境保护的重要工具。通过完善环境风险管理体系，可以有效降低环境风险对银行资产的影响。</w:t>
      </w:r>
    </w:p>
    <w:p w14:paraId="7932A1C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环境风险评估：进一步完善环境风险评估机制，确保所有信贷客户的环境风险评级覆盖率达到100%，并对高风险客户实施动态监控。</w:t>
      </w:r>
    </w:p>
    <w:p w14:paraId="212A30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绿色企业名单制管理：扩大绿色企业名单制管理范围，推动信贷资产结构向绿色化转型。</w:t>
      </w:r>
    </w:p>
    <w:p w14:paraId="61CC655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环境风险应对预案：制定并完善环境风险应对预案，确保在突发环境事件发生时能够迅速响应，最大限度减少环境风险对银行经营的影响。</w:t>
      </w:r>
    </w:p>
    <w:p w14:paraId="6600E6D8">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推动社会责任实践，提升社区参与度</w:t>
      </w:r>
    </w:p>
    <w:p w14:paraId="7F25C7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金融机构不仅是经济活动的参与者，也是社会责任的承担者。通过积极参与社区建设和公益事业，可以提升银行的社会形象和品牌价值。</w:t>
      </w:r>
    </w:p>
    <w:p w14:paraId="5A913B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公益慈善：我行</w:t>
      </w:r>
      <w:r>
        <w:rPr>
          <w:rFonts w:hint="eastAsia" w:ascii="仿宋_GB2312" w:hAnsi="仿宋_GB2312" w:eastAsia="仿宋_GB2312" w:cs="仿宋_GB2312"/>
          <w:sz w:val="32"/>
          <w:szCs w:val="32"/>
          <w:lang w:val="en-US" w:eastAsia="zh-CN"/>
        </w:rPr>
        <w:t>将持续投入资金</w:t>
      </w:r>
      <w:r>
        <w:rPr>
          <w:rFonts w:hint="eastAsia" w:ascii="仿宋_GB2312" w:hAnsi="仿宋_GB2312" w:eastAsia="仿宋_GB2312" w:cs="仿宋_GB2312"/>
          <w:sz w:val="32"/>
          <w:szCs w:val="32"/>
        </w:rPr>
        <w:t>用于支持地方公益事业，重点关注教育、医疗和环境保护领域。</w:t>
      </w:r>
    </w:p>
    <w:p w14:paraId="525246C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社区金融服务：继续推进农村普惠金融服务站建设，进一步提升农村金融服务的覆盖率和可得性。</w:t>
      </w:r>
    </w:p>
    <w:p w14:paraId="15AB5B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员工关怀：持续完善员工福利体系，确保员工满意度保持在95%以上，</w:t>
      </w:r>
      <w:r>
        <w:rPr>
          <w:rFonts w:hint="eastAsia" w:ascii="仿宋_GB2312" w:hAnsi="仿宋_GB2312" w:eastAsia="仿宋_GB2312" w:cs="仿宋_GB2312"/>
          <w:sz w:val="32"/>
          <w:szCs w:val="32"/>
          <w:lang w:val="en-US" w:eastAsia="zh-CN"/>
        </w:rPr>
        <w:t>力争</w:t>
      </w:r>
      <w:r>
        <w:rPr>
          <w:rFonts w:hint="eastAsia" w:ascii="仿宋_GB2312" w:hAnsi="仿宋_GB2312" w:eastAsia="仿宋_GB2312" w:cs="仿宋_GB2312"/>
          <w:sz w:val="32"/>
          <w:szCs w:val="32"/>
        </w:rPr>
        <w:t>员工离职率控制在3%以下，打造和谐、稳定的员工队伍。</w:t>
      </w:r>
    </w:p>
    <w:p w14:paraId="3899F26A">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优化公司治理结构，提升信息披露透明度</w:t>
      </w:r>
    </w:p>
    <w:p w14:paraId="7805A7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良好的公司治理是金融机构稳健运营的基础。通过优化治理结构，提升信息披露透明度，可以增强投资者和公众对银行的信任。</w:t>
      </w:r>
    </w:p>
    <w:p w14:paraId="4CA6BA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董事会治理：进一步完善董事会治理机制，确保独立董事占比</w:t>
      </w:r>
      <w:r>
        <w:rPr>
          <w:rFonts w:hint="eastAsia" w:ascii="仿宋_GB2312" w:hAnsi="仿宋_GB2312" w:eastAsia="仿宋_GB2312" w:cs="仿宋_GB2312"/>
          <w:sz w:val="32"/>
          <w:szCs w:val="32"/>
          <w:lang w:val="en-US" w:eastAsia="zh-CN"/>
        </w:rPr>
        <w:t>不下降</w:t>
      </w:r>
      <w:r>
        <w:rPr>
          <w:rFonts w:hint="eastAsia" w:ascii="仿宋_GB2312" w:hAnsi="仿宋_GB2312" w:eastAsia="仿宋_GB2312" w:cs="仿宋_GB2312"/>
          <w:sz w:val="32"/>
          <w:szCs w:val="32"/>
        </w:rPr>
        <w:t>，提升董事会的独立性和决策科学性。</w:t>
      </w:r>
    </w:p>
    <w:p w14:paraId="0454D7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信息披露：继续加强ESG信息披露，确保所有定期报告和临时公告的及时性、准确性和完整性。未来五年内，</w:t>
      </w:r>
      <w:r>
        <w:rPr>
          <w:rFonts w:hint="eastAsia" w:ascii="仿宋_GB2312" w:hAnsi="仿宋_GB2312" w:eastAsia="仿宋_GB2312" w:cs="仿宋_GB2312"/>
          <w:sz w:val="32"/>
          <w:szCs w:val="32"/>
          <w:lang w:val="en-US" w:eastAsia="zh-CN"/>
        </w:rPr>
        <w:t>持续提高</w:t>
      </w:r>
      <w:r>
        <w:rPr>
          <w:rFonts w:hint="eastAsia" w:ascii="仿宋_GB2312" w:hAnsi="仿宋_GB2312" w:eastAsia="仿宋_GB2312" w:cs="仿宋_GB2312"/>
          <w:sz w:val="32"/>
          <w:szCs w:val="32"/>
        </w:rPr>
        <w:t>ESG专项</w:t>
      </w:r>
      <w:r>
        <w:rPr>
          <w:rFonts w:hint="eastAsia" w:ascii="仿宋_GB2312" w:hAnsi="仿宋_GB2312" w:eastAsia="仿宋_GB2312" w:cs="仿宋_GB2312"/>
          <w:sz w:val="32"/>
          <w:szCs w:val="32"/>
          <w:lang w:val="en-US" w:eastAsia="zh-CN"/>
        </w:rPr>
        <w:t>披露的专业性、完整性</w:t>
      </w:r>
      <w:r>
        <w:rPr>
          <w:rFonts w:hint="eastAsia" w:ascii="仿宋_GB2312" w:hAnsi="仿宋_GB2312" w:eastAsia="仿宋_GB2312" w:cs="仿宋_GB2312"/>
          <w:sz w:val="32"/>
          <w:szCs w:val="32"/>
        </w:rPr>
        <w:t>，详细披露我行在环境、社会和治理方面的进展和成果。</w:t>
      </w:r>
    </w:p>
    <w:p w14:paraId="125586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风险管理：持续优化风险管理流程，确保环境、社会和治理风险的有效识别、评估和控制。</w:t>
      </w:r>
    </w:p>
    <w:p w14:paraId="7DEDF679">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推动数字化转型，提升绿色金融服务效率</w:t>
      </w:r>
    </w:p>
    <w:p w14:paraId="711335F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数字化转型是金融机构提升服务效率和客户体验的重要途径。通过数字化手段，可以更好地推动绿色金融产品的创新和推广。</w:t>
      </w:r>
    </w:p>
    <w:p w14:paraId="3F5F32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线上金融服务：进一步推广“浙里贷”等线上金融服务，线上贷款业务占比</w:t>
      </w:r>
      <w:r>
        <w:rPr>
          <w:rFonts w:hint="eastAsia" w:ascii="仿宋_GB2312" w:hAnsi="仿宋_GB2312" w:eastAsia="仿宋_GB2312" w:cs="仿宋_GB2312"/>
          <w:sz w:val="32"/>
          <w:szCs w:val="32"/>
          <w:lang w:val="en-US" w:eastAsia="zh-CN"/>
        </w:rPr>
        <w:t>持续提高</w:t>
      </w:r>
      <w:r>
        <w:rPr>
          <w:rFonts w:hint="eastAsia" w:ascii="仿宋_GB2312" w:hAnsi="仿宋_GB2312" w:eastAsia="仿宋_GB2312" w:cs="仿宋_GB2312"/>
          <w:sz w:val="32"/>
          <w:szCs w:val="32"/>
        </w:rPr>
        <w:t>，提升客户办理绿色金融业务的便捷性。</w:t>
      </w:r>
    </w:p>
    <w:p w14:paraId="485F76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绿色办公：继续推进无纸化办公和节能减排措施，全行办公能耗</w:t>
      </w:r>
      <w:r>
        <w:rPr>
          <w:rFonts w:hint="eastAsia" w:ascii="仿宋_GB2312" w:hAnsi="仿宋_GB2312" w:eastAsia="仿宋_GB2312" w:cs="仿宋_GB2312"/>
          <w:sz w:val="32"/>
          <w:szCs w:val="32"/>
          <w:lang w:val="en-US" w:eastAsia="zh-CN"/>
        </w:rPr>
        <w:t>持续降低</w:t>
      </w:r>
      <w:r>
        <w:rPr>
          <w:rFonts w:hint="eastAsia" w:ascii="仿宋_GB2312" w:hAnsi="仿宋_GB2312" w:eastAsia="仿宋_GB2312" w:cs="仿宋_GB2312"/>
          <w:sz w:val="32"/>
          <w:szCs w:val="32"/>
        </w:rPr>
        <w:t>，进一步减少碳排放。</w:t>
      </w:r>
    </w:p>
    <w:p w14:paraId="5CFF6D9D">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leftChars="0" w:hanging="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加强ESG文化建设，提升全员ESG意识</w:t>
      </w:r>
    </w:p>
    <w:p w14:paraId="5452BE5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ESG文化的建设是推动可持续发展的重要保障。通过加强ESG文化建设，可以提升全员的ESG意识，推动ESG理念在全行的深入贯彻。</w:t>
      </w:r>
    </w:p>
    <w:p w14:paraId="7236161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ESG培训：每年定期开展ESG专项培训，确保全体员工对ESG理念的理解和认同，力争到2028年，全员ESG培训覆盖率达到100%。</w:t>
      </w:r>
    </w:p>
    <w:p w14:paraId="614266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6400"/>
          <w:sz w:val="32"/>
          <w:szCs w:val="32"/>
          <w:lang w:val="en-US" w:eastAsia="zh-CN"/>
        </w:rPr>
        <w:t>*</w:t>
      </w:r>
      <w:r>
        <w:rPr>
          <w:rFonts w:hint="eastAsia" w:ascii="仿宋_GB2312" w:hAnsi="仿宋_GB2312" w:eastAsia="仿宋_GB2312" w:cs="仿宋_GB2312"/>
          <w:sz w:val="32"/>
          <w:szCs w:val="32"/>
        </w:rPr>
        <w:t>绿色文化推广：通过内部宣传、公益活动等形式，推广绿色文化，提升员工和客户的环保意识，力争在未来五年内，组织不少于</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次绿色公益活动。</w:t>
      </w:r>
    </w:p>
    <w:p w14:paraId="352F167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龙游农商银行将继续以绿色金融为引领，推动环境、社会和治理的协调发展，努力实现经济效益与社会效益的双赢。我们坚信，通过不断的创新和实践，我行将成为区域绿色金融的标杆，为龙游县乃至浙江省的可持续发展贡献力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B44104B-FD01-4136-9FCD-E6E4E3D7C87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222A6C7-F5FA-4002-AFD8-30802575C763}"/>
  </w:font>
  <w:font w:name="Arial Unicode MS">
    <w:altName w:val="宋体"/>
    <w:panose1 w:val="020B0604020202020204"/>
    <w:charset w:val="86"/>
    <w:family w:val="roman"/>
    <w:pitch w:val="default"/>
    <w:sig w:usb0="00000000" w:usb1="00000000" w:usb2="0000003F" w:usb3="00000000" w:csb0="603F01FF" w:csb1="FFFF0000"/>
  </w:font>
  <w:font w:name="汉仪粗黑简">
    <w:altName w:val="黑体"/>
    <w:panose1 w:val="02010600000101010101"/>
    <w:charset w:val="86"/>
    <w:family w:val="auto"/>
    <w:pitch w:val="default"/>
    <w:sig w:usb0="00000000" w:usb1="00000000" w:usb2="00000002" w:usb3="00000000" w:csb0="00040000" w:csb1="00000000"/>
  </w:font>
  <w:font w:name="微软雅黑 Light">
    <w:panose1 w:val="020B0502040204020203"/>
    <w:charset w:val="86"/>
    <w:family w:val="auto"/>
    <w:pitch w:val="default"/>
    <w:sig w:usb0="80000287" w:usb1="2ACF0010" w:usb2="00000016" w:usb3="00000000" w:csb0="0004001F" w:csb1="00000000"/>
    <w:embedRegular r:id="rId3" w:fontKey="{B36FF1BC-FF62-4449-9450-52EC39B1B8A8}"/>
  </w:font>
  <w:font w:name="方正大黑简体">
    <w:panose1 w:val="02000000000000000000"/>
    <w:charset w:val="86"/>
    <w:family w:val="auto"/>
    <w:pitch w:val="default"/>
    <w:sig w:usb0="A00002BF" w:usb1="184F6CFA" w:usb2="00000012" w:usb3="00000000" w:csb0="00040001" w:csb1="00000000"/>
    <w:embedRegular r:id="rId4" w:fontKey="{F7CA21CE-1EB4-4213-AA1A-C34B50D9DB8E}"/>
  </w:font>
  <w:font w:name="方正小标宋_GBK">
    <w:panose1 w:val="03000509000000000000"/>
    <w:charset w:val="86"/>
    <w:family w:val="auto"/>
    <w:pitch w:val="default"/>
    <w:sig w:usb0="00000001" w:usb1="080E0000" w:usb2="00000000" w:usb3="00000000" w:csb0="00040000" w:csb1="00000000"/>
    <w:embedRegular r:id="rId5" w:fontKey="{DC3A9516-E13D-466D-9ABE-3E7D6E6C3E2E}"/>
  </w:font>
  <w:font w:name="方正楷体_GB2312">
    <w:panose1 w:val="02000000000000000000"/>
    <w:charset w:val="86"/>
    <w:family w:val="auto"/>
    <w:pitch w:val="default"/>
    <w:sig w:usb0="A00002BF" w:usb1="184F6CFA" w:usb2="00000012" w:usb3="00000000" w:csb0="00040001" w:csb1="00000000"/>
    <w:embedRegular r:id="rId6" w:fontKey="{96D350E7-0C16-430C-AE9A-5D203E5E5C50}"/>
  </w:font>
  <w:font w:name="仿宋_GB2312">
    <w:panose1 w:val="02010609030101010101"/>
    <w:charset w:val="86"/>
    <w:family w:val="auto"/>
    <w:pitch w:val="default"/>
    <w:sig w:usb0="00000001" w:usb1="080E0000" w:usb2="00000000" w:usb3="00000000" w:csb0="00040000" w:csb1="00000000"/>
    <w:embedRegular r:id="rId7" w:fontKey="{7DFEFD3E-22FE-4493-B93E-093FD2AE6F4D}"/>
  </w:font>
  <w:font w:name="楷体">
    <w:panose1 w:val="02010609060101010101"/>
    <w:charset w:val="86"/>
    <w:family w:val="modern"/>
    <w:pitch w:val="default"/>
    <w:sig w:usb0="800002BF" w:usb1="38CF7CFA" w:usb2="00000016" w:usb3="00000000" w:csb0="00040001" w:csb1="00000000"/>
    <w:embedRegular r:id="rId8" w:fontKey="{76EA36A4-DF70-4E98-984F-E4279B430BA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05595">
    <w:pPr>
      <w:pStyle w:val="5"/>
      <w:jc w:val="center"/>
      <w:rPr>
        <w:rFonts w:hint="default" w:eastAsiaTheme="minorEastAsia"/>
        <w:lang w:val="en-US" w:eastAsia="zh-CN"/>
      </w:rPr>
    </w:pPr>
    <w:r>
      <w:rPr>
        <w:rFonts w:hint="eastAsia"/>
        <w:lang w:val="en-US" w:eastAsia="zh-CN"/>
      </w:rPr>
      <w:t>浙江龙游农村商业银行股份有限公司2024年度ESG披露报告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024px;height:1024px" o:bullet="t">
        <v:imagedata r:id="rId1" o:title=""/>
      </v:shape>
    </w:pict>
  </w:numPicBullet>
  <w:numPicBullet w:numPicBulletId="1">
    <w:pict>
      <v:shape id="1" type="#_x0000_t75" style="width:1024px;height:1024px" o:bullet="t">
        <v:imagedata r:id="rId2" o:title=""/>
      </v:shape>
    </w:pict>
  </w:numPicBullet>
  <w:numPicBullet w:numPicBulletId="2">
    <w:pict>
      <v:shape id="2" type="#_x0000_t75" style="width:1024px;height:1024px" o:bullet="t">
        <v:imagedata r:id="rId3" o:title=""/>
      </v:shape>
    </w:pict>
  </w:numPicBullet>
  <w:numPicBullet w:numPicBulletId="3">
    <w:pict>
      <v:shape id="3" type="#_x0000_t75" style="width:1024px;height:1024px" o:bullet="t">
        <v:imagedata r:id="rId4" o:title=""/>
      </v:shape>
    </w:pict>
  </w:numPicBullet>
  <w:numPicBullet w:numPicBulletId="4">
    <w:pict>
      <v:shape id="4" type="#_x0000_t75" style="width:1024px;height:1024px" o:bullet="t">
        <v:imagedata r:id="rId5" o:title=""/>
      </v:shape>
    </w:pict>
  </w:numPicBullet>
  <w:numPicBullet w:numPicBulletId="5">
    <w:pict>
      <v:shape id="5" type="#_x0000_t75" style="width:1024px;height:1024px" o:bullet="t">
        <v:imagedata r:id="rId6" o:title=""/>
      </v:shape>
    </w:pict>
  </w:numPicBullet>
  <w:numPicBullet w:numPicBulletId="6">
    <w:pict>
      <v:shape id="6" type="#_x0000_t75" style="width:1024px;height:1024px" o:bullet="t">
        <v:imagedata r:id="rId7" o:title=""/>
      </v:shape>
    </w:pict>
  </w:numPicBullet>
  <w:numPicBullet w:numPicBulletId="7">
    <w:pict>
      <v:shape id="7" type="#_x0000_t75" style="width:1024px;height:1024px" o:bullet="t">
        <v:imagedata r:id="rId8" o:title=""/>
      </v:shape>
    </w:pict>
  </w:numPicBullet>
  <w:abstractNum w:abstractNumId="0">
    <w:nsid w:val="DE14FF84"/>
    <w:multiLevelType w:val="singleLevel"/>
    <w:tmpl w:val="DE14FF84"/>
    <w:lvl w:ilvl="0" w:tentative="0">
      <w:start w:val="1"/>
      <w:numFmt w:val="bullet"/>
      <w:lvlText w:val=""/>
      <w:lvlPicBulletId w:val="7"/>
      <w:lvlJc w:val="left"/>
      <w:pPr>
        <w:ind w:left="420" w:hanging="420"/>
      </w:pPr>
      <w:rPr>
        <w:rFonts w:hint="default" w:ascii="Wingdings" w:hAnsi="Wingdings"/>
      </w:rPr>
    </w:lvl>
  </w:abstractNum>
  <w:abstractNum w:abstractNumId="1">
    <w:nsid w:val="FC572E6D"/>
    <w:multiLevelType w:val="singleLevel"/>
    <w:tmpl w:val="FC572E6D"/>
    <w:lvl w:ilvl="0" w:tentative="0">
      <w:start w:val="1"/>
      <w:numFmt w:val="bullet"/>
      <w:lvlText w:val=""/>
      <w:lvlPicBulletId w:val="5"/>
      <w:lvlJc w:val="left"/>
      <w:pPr>
        <w:ind w:left="420" w:hanging="420"/>
      </w:pPr>
      <w:rPr>
        <w:rFonts w:hint="default" w:ascii="Wingdings" w:hAnsi="Wingdings"/>
      </w:rPr>
    </w:lvl>
  </w:abstractNum>
  <w:abstractNum w:abstractNumId="2">
    <w:nsid w:val="13A28036"/>
    <w:multiLevelType w:val="singleLevel"/>
    <w:tmpl w:val="13A28036"/>
    <w:lvl w:ilvl="0" w:tentative="0">
      <w:start w:val="1"/>
      <w:numFmt w:val="bullet"/>
      <w:lvlText w:val=""/>
      <w:lvlPicBulletId w:val="1"/>
      <w:lvlJc w:val="left"/>
      <w:pPr>
        <w:ind w:left="420" w:hanging="420"/>
      </w:pPr>
      <w:rPr>
        <w:rFonts w:hint="default" w:ascii="Wingdings" w:hAnsi="Wingdings"/>
      </w:rPr>
    </w:lvl>
  </w:abstractNum>
  <w:abstractNum w:abstractNumId="3">
    <w:nsid w:val="3A398BE3"/>
    <w:multiLevelType w:val="singleLevel"/>
    <w:tmpl w:val="3A398BE3"/>
    <w:lvl w:ilvl="0" w:tentative="0">
      <w:start w:val="1"/>
      <w:numFmt w:val="bullet"/>
      <w:lvlText w:val=""/>
      <w:lvlPicBulletId w:val="6"/>
      <w:lvlJc w:val="left"/>
      <w:pPr>
        <w:ind w:left="420" w:hanging="420"/>
      </w:pPr>
      <w:rPr>
        <w:rFonts w:hint="default" w:ascii="Wingdings" w:hAnsi="Wingdings"/>
      </w:rPr>
    </w:lvl>
  </w:abstractNum>
  <w:abstractNum w:abstractNumId="4">
    <w:nsid w:val="65D15F82"/>
    <w:multiLevelType w:val="singleLevel"/>
    <w:tmpl w:val="65D15F82"/>
    <w:lvl w:ilvl="0" w:tentative="0">
      <w:start w:val="1"/>
      <w:numFmt w:val="bullet"/>
      <w:lvlText w:val=""/>
      <w:lvlPicBulletId w:val="3"/>
      <w:lvlJc w:val="left"/>
      <w:pPr>
        <w:ind w:left="420" w:hanging="420"/>
      </w:pPr>
      <w:rPr>
        <w:rFonts w:hint="default" w:ascii="Wingdings" w:hAnsi="Wingdings"/>
      </w:rPr>
    </w:lvl>
  </w:abstractNum>
  <w:abstractNum w:abstractNumId="5">
    <w:nsid w:val="73DDC72C"/>
    <w:multiLevelType w:val="singleLevel"/>
    <w:tmpl w:val="73DDC72C"/>
    <w:lvl w:ilvl="0" w:tentative="0">
      <w:start w:val="1"/>
      <w:numFmt w:val="bullet"/>
      <w:lvlText w:val=""/>
      <w:lvlPicBulletId w:val="0"/>
      <w:lvlJc w:val="left"/>
      <w:pPr>
        <w:ind w:left="420" w:hanging="420"/>
      </w:pPr>
      <w:rPr>
        <w:rFonts w:hint="default" w:ascii="Wingdings" w:hAnsi="Wingdings"/>
      </w:rPr>
    </w:lvl>
  </w:abstractNum>
  <w:abstractNum w:abstractNumId="6">
    <w:nsid w:val="7C7D73BE"/>
    <w:multiLevelType w:val="singleLevel"/>
    <w:tmpl w:val="7C7D73BE"/>
    <w:lvl w:ilvl="0" w:tentative="0">
      <w:start w:val="1"/>
      <w:numFmt w:val="bullet"/>
      <w:lvlText w:val=""/>
      <w:lvlPicBulletId w:val="4"/>
      <w:lvlJc w:val="left"/>
      <w:pPr>
        <w:ind w:left="420" w:hanging="420"/>
      </w:pPr>
      <w:rPr>
        <w:rFonts w:hint="default" w:ascii="Wingdings" w:hAnsi="Wingdings"/>
      </w:rPr>
    </w:lvl>
  </w:abstractNum>
  <w:abstractNum w:abstractNumId="7">
    <w:nsid w:val="7EFE67C8"/>
    <w:multiLevelType w:val="singleLevel"/>
    <w:tmpl w:val="7EFE67C8"/>
    <w:lvl w:ilvl="0" w:tentative="0">
      <w:start w:val="1"/>
      <w:numFmt w:val="bullet"/>
      <w:lvlText w:val=""/>
      <w:lvlPicBulletId w:val="2"/>
      <w:lvlJc w:val="left"/>
      <w:pPr>
        <w:ind w:left="420" w:hanging="420"/>
      </w:pPr>
      <w:rPr>
        <w:rFonts w:hint="default" w:ascii="Wingdings" w:hAnsi="Wingdings"/>
      </w:rPr>
    </w:lvl>
  </w:abstractNum>
  <w:num w:numId="1">
    <w:abstractNumId w:val="5"/>
  </w:num>
  <w:num w:numId="2">
    <w:abstractNumId w:val="2"/>
  </w:num>
  <w:num w:numId="3">
    <w:abstractNumId w:val="7"/>
  </w:num>
  <w:num w:numId="4">
    <w:abstractNumId w:val="4"/>
  </w:num>
  <w:num w:numId="5">
    <w:abstractNumId w:val="6"/>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2YWIxM2Q4NzIyNGJjYjI2ZmY4NjI0ZWE1MDEyYTEifQ=="/>
  </w:docVars>
  <w:rsids>
    <w:rsidRoot w:val="4D7B07BA"/>
    <w:rsid w:val="01082E3A"/>
    <w:rsid w:val="0A4E3C92"/>
    <w:rsid w:val="0B937038"/>
    <w:rsid w:val="0E437784"/>
    <w:rsid w:val="12EB6686"/>
    <w:rsid w:val="15F8047E"/>
    <w:rsid w:val="1CF94BB7"/>
    <w:rsid w:val="30BA167E"/>
    <w:rsid w:val="4CDD30D8"/>
    <w:rsid w:val="4D7B07BA"/>
    <w:rsid w:val="4FF06003"/>
    <w:rsid w:val="59C03AED"/>
    <w:rsid w:val="5AB77215"/>
    <w:rsid w:val="5E710B1A"/>
    <w:rsid w:val="66723C36"/>
    <w:rsid w:val="6AC03074"/>
    <w:rsid w:val="6FB633F0"/>
    <w:rsid w:val="76330D27"/>
    <w:rsid w:val="7D0D1B29"/>
    <w:rsid w:val="7F961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iPriority="64"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uiPriority w:val="0"/>
    <w:pPr>
      <w:widowControl/>
      <w:ind w:firstLine="420" w:firstLineChars="200"/>
      <w:jc w:val="left"/>
    </w:pPr>
    <w:rPr>
      <w:rFonts w:ascii="Times New Roman" w:hAnsi="Times New Roman" w:eastAsia="Arial Unicode MS" w:cs="Times New Roman"/>
      <w:kern w:val="0"/>
      <w:sz w:val="24"/>
      <w:lang w:eastAsia="en-US"/>
    </w:rPr>
  </w:style>
  <w:style w:type="paragraph" w:styleId="3">
    <w:name w:val="Body Text Indent"/>
    <w:basedOn w:val="1"/>
    <w:uiPriority w:val="0"/>
    <w:pPr>
      <w:spacing w:after="120"/>
      <w:ind w:left="420" w:leftChars="200"/>
    </w:p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iPriority w:val="0"/>
    <w:rPr>
      <w:rFonts w:eastAsia="汉仪粗黑简"/>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
    <w:name w:val="Medium Shading 2 Accent 5"/>
    <w:basedOn w:val="7"/>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30C0B4"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30C0B4"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30C0B4"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paragraph" w:customStyle="1" w:styleId="11">
    <w:name w:val="图表标题"/>
    <w:basedOn w:val="1"/>
    <w:autoRedefine/>
    <w:qFormat/>
    <w:uiPriority w:val="0"/>
    <w:pPr>
      <w:spacing w:line="440" w:lineRule="exact"/>
      <w:jc w:val="center"/>
    </w:pPr>
    <w:rPr>
      <w:rFonts w:cstheme="minorEastAsia"/>
      <w:szCs w:val="21"/>
    </w:rPr>
  </w:style>
</w:styles>
</file>

<file path=word/_rels/document.xml.rels><?xml version="1.0" encoding="UTF-8" standalone="yes"?>
<Relationships xmlns="http://schemas.openxmlformats.org/package/2006/relationships"><Relationship Id="rId9" Type="http://schemas.openxmlformats.org/officeDocument/2006/relationships/diagramQuickStyle" Target="diagrams/quickStyle1.xml"/><Relationship Id="rId8" Type="http://schemas.openxmlformats.org/officeDocument/2006/relationships/diagramLayout" Target="diagrams/layout1.xml"/><Relationship Id="rId7" Type="http://schemas.openxmlformats.org/officeDocument/2006/relationships/diagramData" Target="diagrams/data1.xml"/><Relationship Id="rId6" Type="http://schemas.openxmlformats.org/officeDocument/2006/relationships/image" Target="media/image2.jpeg"/><Relationship Id="rId5" Type="http://schemas.openxmlformats.org/officeDocument/2006/relationships/image" Target="media/image1.bmp"/><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microsoft.com/office/2007/relationships/diagramDrawing" Target="diagrams/drawing1.xml"/><Relationship Id="rId10" Type="http://schemas.openxmlformats.org/officeDocument/2006/relationships/diagramColors" Target="diagrams/colors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8" Type="http://schemas.openxmlformats.org/officeDocument/2006/relationships/image" Target="media/image11.png"/><Relationship Id="rId7" Type="http://schemas.openxmlformats.org/officeDocument/2006/relationships/image" Target="media/image10.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D99A385-4EE9-424F-BF23-590C245AC8E7}" type="doc">
      <dgm:prSet loTypeId="urn:microsoft.com/office/officeart/2005/8/layout/cycle6" loCatId="cycle" qsTypeId="urn:microsoft.com/office/officeart/2005/8/quickstyle/simple1" qsCatId="simple" csTypeId="urn:microsoft.com/office/officeart/2005/8/colors/colorful5" csCatId="colorful" phldr="1"/>
      <dgm:spPr/>
      <dgm:t>
        <a:bodyPr/>
        <a:p>
          <a:endParaRPr lang="zh-CN" altLang="en-US"/>
        </a:p>
      </dgm:t>
    </dgm:pt>
    <dgm:pt modelId="{04542144-6E57-47BC-A31A-12ABB73921FB}">
      <dgm:prSet phldrT="[文本]"/>
      <dgm:spPr/>
      <dgm:t>
        <a:bodyPr/>
        <a:p>
          <a:pPr algn="l"/>
          <a:r>
            <a:rPr lang="zh-CN" altLang="en-US"/>
            <a:t>绿色信贷</a:t>
          </a:r>
        </a:p>
      </dgm:t>
    </dgm:pt>
    <dgm:pt modelId="{1FDCF19D-440C-4CEB-A702-6E2FB7254306}" cxnId="{621603D9-08F3-4140-B383-E338DDDA70EE}" type="parTrans">
      <dgm:prSet/>
      <dgm:spPr/>
      <dgm:t>
        <a:bodyPr/>
        <a:p>
          <a:pPr algn="l"/>
          <a:endParaRPr lang="zh-CN" altLang="en-US"/>
        </a:p>
      </dgm:t>
    </dgm:pt>
    <dgm:pt modelId="{4F8673D2-5356-4DA7-81AE-0A66533370FC}" cxnId="{621603D9-08F3-4140-B383-E338DDDA70EE}" type="sibTrans">
      <dgm:prSet/>
      <dgm:spPr/>
      <dgm:t>
        <a:bodyPr/>
        <a:p>
          <a:pPr algn="l"/>
          <a:endParaRPr lang="zh-CN" altLang="en-US"/>
        </a:p>
      </dgm:t>
    </dgm:pt>
    <dgm:pt modelId="{6B42EFA8-709F-46B7-BE9B-46D695D06F82}">
      <dgm:prSet phldrT="[文本]"/>
      <dgm:spPr/>
      <dgm:t>
        <a:bodyPr/>
        <a:p>
          <a:pPr algn="l"/>
          <a:r>
            <a:rPr lang="zh-CN" altLang="en-US"/>
            <a:t>绿色共享</a:t>
          </a:r>
        </a:p>
      </dgm:t>
    </dgm:pt>
    <dgm:pt modelId="{BCE0AE4F-62F8-43C9-B9C5-D74748F13902}" cxnId="{DDC200CB-7A08-4871-9768-47420D1AF34A}" type="parTrans">
      <dgm:prSet/>
      <dgm:spPr/>
      <dgm:t>
        <a:bodyPr/>
        <a:p>
          <a:pPr algn="l"/>
          <a:endParaRPr lang="zh-CN" altLang="en-US"/>
        </a:p>
      </dgm:t>
    </dgm:pt>
    <dgm:pt modelId="{63295C78-7121-4822-8B94-FBAAB96AAA8E}" cxnId="{DDC200CB-7A08-4871-9768-47420D1AF34A}" type="sibTrans">
      <dgm:prSet/>
      <dgm:spPr/>
      <dgm:t>
        <a:bodyPr/>
        <a:p>
          <a:pPr algn="l"/>
          <a:endParaRPr lang="zh-CN" altLang="en-US"/>
        </a:p>
      </dgm:t>
    </dgm:pt>
    <dgm:pt modelId="{6B92D015-B098-4C53-A882-8E5D464650F0}">
      <dgm:prSet phldrT="[文本]"/>
      <dgm:spPr/>
      <dgm:t>
        <a:bodyPr/>
        <a:p>
          <a:pPr algn="l"/>
          <a:r>
            <a:rPr lang="zh-CN" altLang="en-US"/>
            <a:t>绿色公益</a:t>
          </a:r>
        </a:p>
      </dgm:t>
    </dgm:pt>
    <dgm:pt modelId="{78F474EC-B69E-4967-A48A-3E210292E911}" cxnId="{0F5E5866-DA27-4A1C-B362-FB7542E61F06}" type="parTrans">
      <dgm:prSet/>
      <dgm:spPr/>
      <dgm:t>
        <a:bodyPr/>
        <a:p>
          <a:pPr algn="l"/>
          <a:endParaRPr lang="zh-CN" altLang="en-US"/>
        </a:p>
      </dgm:t>
    </dgm:pt>
    <dgm:pt modelId="{692B0785-9AE4-473A-9813-502145C1F7E4}" cxnId="{0F5E5866-DA27-4A1C-B362-FB7542E61F06}" type="sibTrans">
      <dgm:prSet/>
      <dgm:spPr/>
      <dgm:t>
        <a:bodyPr/>
        <a:p>
          <a:pPr algn="l"/>
          <a:endParaRPr lang="zh-CN" altLang="en-US"/>
        </a:p>
      </dgm:t>
    </dgm:pt>
    <dgm:pt modelId="{813F325F-837E-4461-B293-72EAB4774D98}">
      <dgm:prSet phldrT="[文本]"/>
      <dgm:spPr/>
      <dgm:t>
        <a:bodyPr/>
        <a:p>
          <a:pPr algn="l"/>
          <a:r>
            <a:rPr lang="zh-CN" altLang="en-US"/>
            <a:t>绿色信用</a:t>
          </a:r>
        </a:p>
      </dgm:t>
    </dgm:pt>
    <dgm:pt modelId="{BB9EA18D-F465-4356-914A-F02195B229B5}" cxnId="{7A71BB34-C5D1-4795-ACFF-BAD27667BC7E}" type="parTrans">
      <dgm:prSet/>
      <dgm:spPr/>
      <dgm:t>
        <a:bodyPr/>
        <a:p>
          <a:pPr algn="l"/>
          <a:endParaRPr lang="zh-CN" altLang="en-US"/>
        </a:p>
      </dgm:t>
    </dgm:pt>
    <dgm:pt modelId="{E85C07DC-1107-4F24-877C-122237441BA0}" cxnId="{7A71BB34-C5D1-4795-ACFF-BAD27667BC7E}" type="sibTrans">
      <dgm:prSet/>
      <dgm:spPr/>
      <dgm:t>
        <a:bodyPr/>
        <a:p>
          <a:pPr algn="l"/>
          <a:endParaRPr lang="zh-CN" altLang="en-US"/>
        </a:p>
      </dgm:t>
    </dgm:pt>
    <dgm:pt modelId="{18ABB4BF-E5A3-4D2D-9354-49DF189841DD}">
      <dgm:prSet phldrT="[文本]"/>
      <dgm:spPr/>
      <dgm:t>
        <a:bodyPr/>
        <a:p>
          <a:pPr algn="l"/>
          <a:r>
            <a:rPr lang="zh-CN" altLang="en-US"/>
            <a:t>绿色支付</a:t>
          </a:r>
        </a:p>
      </dgm:t>
    </dgm:pt>
    <dgm:pt modelId="{8C800C71-CD4A-4CC8-8A05-E2BD946878D0}" cxnId="{6BE8FEC1-D66F-4D56-B4F7-888156D42F22}" type="parTrans">
      <dgm:prSet/>
      <dgm:spPr/>
      <dgm:t>
        <a:bodyPr/>
        <a:p>
          <a:pPr algn="l"/>
          <a:endParaRPr lang="zh-CN" altLang="en-US"/>
        </a:p>
      </dgm:t>
    </dgm:pt>
    <dgm:pt modelId="{1D0BE504-C356-4D55-A6A3-E302C0357A50}" cxnId="{6BE8FEC1-D66F-4D56-B4F7-888156D42F22}" type="sibTrans">
      <dgm:prSet/>
      <dgm:spPr/>
      <dgm:t>
        <a:bodyPr/>
        <a:p>
          <a:pPr algn="l"/>
          <a:endParaRPr lang="zh-CN" altLang="en-US"/>
        </a:p>
      </dgm:t>
    </dgm:pt>
    <dgm:pt modelId="{FDC68785-3DDB-4181-B610-697B00A80AD4}">
      <dgm:prSet phldrT="[文本]"/>
      <dgm:spPr/>
      <dgm:t>
        <a:bodyPr/>
        <a:p>
          <a:pPr algn="l"/>
          <a:r>
            <a:rPr lang="zh-CN" altLang="en-US"/>
            <a:t>绿色扶贫</a:t>
          </a:r>
        </a:p>
      </dgm:t>
    </dgm:pt>
    <dgm:pt modelId="{DD80D52C-D455-4376-A485-E35C3DA9FB17}" cxnId="{4DEE5617-B5F2-40E4-A96D-4B79398B084F}" type="parTrans">
      <dgm:prSet/>
      <dgm:spPr/>
      <dgm:t>
        <a:bodyPr/>
        <a:p>
          <a:pPr algn="l"/>
          <a:endParaRPr lang="zh-CN" altLang="en-US"/>
        </a:p>
      </dgm:t>
    </dgm:pt>
    <dgm:pt modelId="{00C67001-9740-46F1-8A9B-DF5FEFE5AA31}" cxnId="{4DEE5617-B5F2-40E4-A96D-4B79398B084F}" type="sibTrans">
      <dgm:prSet/>
      <dgm:spPr/>
      <dgm:t>
        <a:bodyPr/>
        <a:p>
          <a:pPr algn="l"/>
          <a:endParaRPr lang="zh-CN" altLang="en-US"/>
        </a:p>
      </dgm:t>
    </dgm:pt>
    <dgm:pt modelId="{54961448-C7BF-4203-8801-1391CAB1ADE1}" type="pres">
      <dgm:prSet presAssocID="{AD99A385-4EE9-424F-BF23-590C245AC8E7}" presName="cycle" presStyleCnt="0">
        <dgm:presLayoutVars>
          <dgm:dir/>
          <dgm:resizeHandles val="exact"/>
        </dgm:presLayoutVars>
      </dgm:prSet>
      <dgm:spPr/>
      <dgm:t>
        <a:bodyPr/>
        <a:p>
          <a:endParaRPr lang="zh-CN" altLang="en-US"/>
        </a:p>
      </dgm:t>
    </dgm:pt>
    <dgm:pt modelId="{A6435AF1-78C0-4A52-A2FC-B74722B98FBA}" type="pres">
      <dgm:prSet presAssocID="{04542144-6E57-47BC-A31A-12ABB73921FB}" presName="node" presStyleLbl="node1" presStyleIdx="0" presStyleCnt="6">
        <dgm:presLayoutVars>
          <dgm:bulletEnabled val="1"/>
        </dgm:presLayoutVars>
      </dgm:prSet>
      <dgm:spPr/>
      <dgm:t>
        <a:bodyPr/>
        <a:p>
          <a:endParaRPr lang="zh-CN" altLang="en-US"/>
        </a:p>
      </dgm:t>
    </dgm:pt>
    <dgm:pt modelId="{853B027C-C825-4ECA-99F9-241941868C82}" type="pres">
      <dgm:prSet presAssocID="{04542144-6E57-47BC-A31A-12ABB73921FB}" presName="spNode" presStyleCnt="0"/>
      <dgm:spPr/>
    </dgm:pt>
    <dgm:pt modelId="{4B6C23F3-619D-4549-B842-AA3201181A62}" type="pres">
      <dgm:prSet presAssocID="{4F8673D2-5356-4DA7-81AE-0A66533370FC}" presName="sibTrans" presStyleLbl="sibTrans1D1" presStyleIdx="0" presStyleCnt="6"/>
      <dgm:spPr/>
      <dgm:t>
        <a:bodyPr/>
        <a:p>
          <a:endParaRPr lang="zh-CN" altLang="en-US"/>
        </a:p>
      </dgm:t>
    </dgm:pt>
    <dgm:pt modelId="{841A8277-3B22-4974-BFC0-EC943530522C}" type="pres">
      <dgm:prSet presAssocID="{6B42EFA8-709F-46B7-BE9B-46D695D06F82}" presName="node" presStyleLbl="node1" presStyleIdx="1" presStyleCnt="6">
        <dgm:presLayoutVars>
          <dgm:bulletEnabled val="1"/>
        </dgm:presLayoutVars>
      </dgm:prSet>
      <dgm:spPr/>
      <dgm:t>
        <a:bodyPr/>
        <a:p>
          <a:endParaRPr lang="zh-CN" altLang="en-US"/>
        </a:p>
      </dgm:t>
    </dgm:pt>
    <dgm:pt modelId="{B99AA9E8-8816-4575-B856-30BBD8555A5E}" type="pres">
      <dgm:prSet presAssocID="{6B42EFA8-709F-46B7-BE9B-46D695D06F82}" presName="spNode" presStyleCnt="0"/>
      <dgm:spPr/>
    </dgm:pt>
    <dgm:pt modelId="{504E4789-4F15-4D15-B3AF-1016E0678FBC}" type="pres">
      <dgm:prSet presAssocID="{63295C78-7121-4822-8B94-FBAAB96AAA8E}" presName="sibTrans" presStyleLbl="sibTrans1D1" presStyleIdx="1" presStyleCnt="6"/>
      <dgm:spPr/>
      <dgm:t>
        <a:bodyPr/>
        <a:p>
          <a:endParaRPr lang="zh-CN" altLang="en-US"/>
        </a:p>
      </dgm:t>
    </dgm:pt>
    <dgm:pt modelId="{56A1E95C-DE6F-414D-9289-003FFB606FC9}" type="pres">
      <dgm:prSet presAssocID="{FDC68785-3DDB-4181-B610-697B00A80AD4}" presName="node" presStyleLbl="node1" presStyleIdx="2" presStyleCnt="6">
        <dgm:presLayoutVars>
          <dgm:bulletEnabled val="1"/>
        </dgm:presLayoutVars>
      </dgm:prSet>
      <dgm:spPr/>
      <dgm:t>
        <a:bodyPr/>
        <a:p>
          <a:endParaRPr lang="zh-CN" altLang="en-US"/>
        </a:p>
      </dgm:t>
    </dgm:pt>
    <dgm:pt modelId="{0CF8975B-2277-4E0E-9BBA-CABEEF5E2317}" type="pres">
      <dgm:prSet presAssocID="{FDC68785-3DDB-4181-B610-697B00A80AD4}" presName="spNode" presStyleCnt="0"/>
      <dgm:spPr/>
    </dgm:pt>
    <dgm:pt modelId="{2467A087-286F-4E80-8121-88C3A42C5D22}" type="pres">
      <dgm:prSet presAssocID="{00C67001-9740-46F1-8A9B-DF5FEFE5AA31}" presName="sibTrans" presStyleLbl="sibTrans1D1" presStyleIdx="2" presStyleCnt="6"/>
      <dgm:spPr/>
      <dgm:t>
        <a:bodyPr/>
        <a:p>
          <a:endParaRPr lang="zh-CN" altLang="en-US"/>
        </a:p>
      </dgm:t>
    </dgm:pt>
    <dgm:pt modelId="{1F8D0C4B-9EE6-4AFF-97CA-0F4C22C7C33E}" type="pres">
      <dgm:prSet presAssocID="{6B92D015-B098-4C53-A882-8E5D464650F0}" presName="node" presStyleLbl="node1" presStyleIdx="3" presStyleCnt="6">
        <dgm:presLayoutVars>
          <dgm:bulletEnabled val="1"/>
        </dgm:presLayoutVars>
      </dgm:prSet>
      <dgm:spPr/>
      <dgm:t>
        <a:bodyPr/>
        <a:p>
          <a:endParaRPr lang="zh-CN" altLang="en-US"/>
        </a:p>
      </dgm:t>
    </dgm:pt>
    <dgm:pt modelId="{0DF82370-1E50-49E1-A00C-A9F4BA0665A2}" type="pres">
      <dgm:prSet presAssocID="{6B92D015-B098-4C53-A882-8E5D464650F0}" presName="spNode" presStyleCnt="0"/>
      <dgm:spPr/>
    </dgm:pt>
    <dgm:pt modelId="{C0D0B0A7-CAA6-4ECF-8E06-E5A37A094544}" type="pres">
      <dgm:prSet presAssocID="{692B0785-9AE4-473A-9813-502145C1F7E4}" presName="sibTrans" presStyleLbl="sibTrans1D1" presStyleIdx="3" presStyleCnt="6"/>
      <dgm:spPr/>
      <dgm:t>
        <a:bodyPr/>
        <a:p>
          <a:endParaRPr lang="zh-CN" altLang="en-US"/>
        </a:p>
      </dgm:t>
    </dgm:pt>
    <dgm:pt modelId="{20491643-E1B6-4C0B-8A33-A2C2B921E8E6}" type="pres">
      <dgm:prSet presAssocID="{813F325F-837E-4461-B293-72EAB4774D98}" presName="node" presStyleLbl="node1" presStyleIdx="4" presStyleCnt="6">
        <dgm:presLayoutVars>
          <dgm:bulletEnabled val="1"/>
        </dgm:presLayoutVars>
      </dgm:prSet>
      <dgm:spPr/>
      <dgm:t>
        <a:bodyPr/>
        <a:p>
          <a:endParaRPr lang="zh-CN" altLang="en-US"/>
        </a:p>
      </dgm:t>
    </dgm:pt>
    <dgm:pt modelId="{E5866B55-EF1E-4197-BCF9-07345330C529}" type="pres">
      <dgm:prSet presAssocID="{813F325F-837E-4461-B293-72EAB4774D98}" presName="spNode" presStyleCnt="0"/>
      <dgm:spPr/>
    </dgm:pt>
    <dgm:pt modelId="{5A3BDBD8-E0D8-47CD-90CF-930C7BD3A576}" type="pres">
      <dgm:prSet presAssocID="{E85C07DC-1107-4F24-877C-122237441BA0}" presName="sibTrans" presStyleLbl="sibTrans1D1" presStyleIdx="4" presStyleCnt="6"/>
      <dgm:spPr/>
      <dgm:t>
        <a:bodyPr/>
        <a:p>
          <a:endParaRPr lang="zh-CN" altLang="en-US"/>
        </a:p>
      </dgm:t>
    </dgm:pt>
    <dgm:pt modelId="{0B2A1877-3C45-419B-A755-C536129E9A0A}" type="pres">
      <dgm:prSet presAssocID="{18ABB4BF-E5A3-4D2D-9354-49DF189841DD}" presName="node" presStyleLbl="node1" presStyleIdx="5" presStyleCnt="6">
        <dgm:presLayoutVars>
          <dgm:bulletEnabled val="1"/>
        </dgm:presLayoutVars>
      </dgm:prSet>
      <dgm:spPr/>
      <dgm:t>
        <a:bodyPr/>
        <a:p>
          <a:endParaRPr lang="zh-CN" altLang="en-US"/>
        </a:p>
      </dgm:t>
    </dgm:pt>
    <dgm:pt modelId="{1364E65D-BE75-41E7-B68C-4D5D7C28FB4B}" type="pres">
      <dgm:prSet presAssocID="{18ABB4BF-E5A3-4D2D-9354-49DF189841DD}" presName="spNode" presStyleCnt="0"/>
      <dgm:spPr/>
    </dgm:pt>
    <dgm:pt modelId="{15C297C7-B5F4-4BD8-B22D-EB1BABABD381}" type="pres">
      <dgm:prSet presAssocID="{1D0BE504-C356-4D55-A6A3-E302C0357A50}" presName="sibTrans" presStyleLbl="sibTrans1D1" presStyleIdx="5" presStyleCnt="6"/>
      <dgm:spPr/>
      <dgm:t>
        <a:bodyPr/>
        <a:p>
          <a:endParaRPr lang="zh-CN" altLang="en-US"/>
        </a:p>
      </dgm:t>
    </dgm:pt>
  </dgm:ptLst>
  <dgm:cxnLst>
    <dgm:cxn modelId="{E12BF5C5-C703-4913-A009-2775067A5922}" type="presOf" srcId="{813F325F-837E-4461-B293-72EAB4774D98}" destId="{20491643-E1B6-4C0B-8A33-A2C2B921E8E6}" srcOrd="0" destOrd="0" presId="urn:microsoft.com/office/officeart/2005/8/layout/cycle6"/>
    <dgm:cxn modelId="{E9C8EA00-3151-483E-8AC4-8F3FF97487B4}" type="presOf" srcId="{6B92D015-B098-4C53-A882-8E5D464650F0}" destId="{1F8D0C4B-9EE6-4AFF-97CA-0F4C22C7C33E}" srcOrd="0" destOrd="0" presId="urn:microsoft.com/office/officeart/2005/8/layout/cycle6"/>
    <dgm:cxn modelId="{C5E0E0EF-B756-4EB2-A7D4-D2BCAD2A4244}" type="presOf" srcId="{18ABB4BF-E5A3-4D2D-9354-49DF189841DD}" destId="{0B2A1877-3C45-419B-A755-C536129E9A0A}" srcOrd="0" destOrd="0" presId="urn:microsoft.com/office/officeart/2005/8/layout/cycle6"/>
    <dgm:cxn modelId="{44103FC6-BCDD-4A82-90B4-DC853FEBEAD7}" type="presOf" srcId="{6B42EFA8-709F-46B7-BE9B-46D695D06F82}" destId="{841A8277-3B22-4974-BFC0-EC943530522C}" srcOrd="0" destOrd="0" presId="urn:microsoft.com/office/officeart/2005/8/layout/cycle6"/>
    <dgm:cxn modelId="{621603D9-08F3-4140-B383-E338DDDA70EE}" srcId="{AD99A385-4EE9-424F-BF23-590C245AC8E7}" destId="{04542144-6E57-47BC-A31A-12ABB73921FB}" srcOrd="0" destOrd="0" parTransId="{1FDCF19D-440C-4CEB-A702-6E2FB7254306}" sibTransId="{4F8673D2-5356-4DA7-81AE-0A66533370FC}"/>
    <dgm:cxn modelId="{6BE8FEC1-D66F-4D56-B4F7-888156D42F22}" srcId="{AD99A385-4EE9-424F-BF23-590C245AC8E7}" destId="{18ABB4BF-E5A3-4D2D-9354-49DF189841DD}" srcOrd="5" destOrd="0" parTransId="{8C800C71-CD4A-4CC8-8A05-E2BD946878D0}" sibTransId="{1D0BE504-C356-4D55-A6A3-E302C0357A50}"/>
    <dgm:cxn modelId="{EF4FDBA7-EE29-4BD9-A8D0-AAE3D6DFA8A7}" type="presOf" srcId="{E85C07DC-1107-4F24-877C-122237441BA0}" destId="{5A3BDBD8-E0D8-47CD-90CF-930C7BD3A576}" srcOrd="0" destOrd="0" presId="urn:microsoft.com/office/officeart/2005/8/layout/cycle6"/>
    <dgm:cxn modelId="{0F5E5866-DA27-4A1C-B362-FB7542E61F06}" srcId="{AD99A385-4EE9-424F-BF23-590C245AC8E7}" destId="{6B92D015-B098-4C53-A882-8E5D464650F0}" srcOrd="3" destOrd="0" parTransId="{78F474EC-B69E-4967-A48A-3E210292E911}" sibTransId="{692B0785-9AE4-473A-9813-502145C1F7E4}"/>
    <dgm:cxn modelId="{07E478F2-7096-451D-A64A-7B9511D754FF}" type="presOf" srcId="{FDC68785-3DDB-4181-B610-697B00A80AD4}" destId="{56A1E95C-DE6F-414D-9289-003FFB606FC9}" srcOrd="0" destOrd="0" presId="urn:microsoft.com/office/officeart/2005/8/layout/cycle6"/>
    <dgm:cxn modelId="{17AD92A7-89C2-450D-A5CA-4F9C84013BCF}" type="presOf" srcId="{1D0BE504-C356-4D55-A6A3-E302C0357A50}" destId="{15C297C7-B5F4-4BD8-B22D-EB1BABABD381}" srcOrd="0" destOrd="0" presId="urn:microsoft.com/office/officeart/2005/8/layout/cycle6"/>
    <dgm:cxn modelId="{4DEE5617-B5F2-40E4-A96D-4B79398B084F}" srcId="{AD99A385-4EE9-424F-BF23-590C245AC8E7}" destId="{FDC68785-3DDB-4181-B610-697B00A80AD4}" srcOrd="2" destOrd="0" parTransId="{DD80D52C-D455-4376-A485-E35C3DA9FB17}" sibTransId="{00C67001-9740-46F1-8A9B-DF5FEFE5AA31}"/>
    <dgm:cxn modelId="{DDC200CB-7A08-4871-9768-47420D1AF34A}" srcId="{AD99A385-4EE9-424F-BF23-590C245AC8E7}" destId="{6B42EFA8-709F-46B7-BE9B-46D695D06F82}" srcOrd="1" destOrd="0" parTransId="{BCE0AE4F-62F8-43C9-B9C5-D74748F13902}" sibTransId="{63295C78-7121-4822-8B94-FBAAB96AAA8E}"/>
    <dgm:cxn modelId="{AFD955EC-1DA4-4DA9-AC0C-FF6B0C5B24E5}" type="presOf" srcId="{692B0785-9AE4-473A-9813-502145C1F7E4}" destId="{C0D0B0A7-CAA6-4ECF-8E06-E5A37A094544}" srcOrd="0" destOrd="0" presId="urn:microsoft.com/office/officeart/2005/8/layout/cycle6"/>
    <dgm:cxn modelId="{F536731A-ABEE-4932-B19E-7C0DC8AB1359}" type="presOf" srcId="{AD99A385-4EE9-424F-BF23-590C245AC8E7}" destId="{54961448-C7BF-4203-8801-1391CAB1ADE1}" srcOrd="0" destOrd="0" presId="urn:microsoft.com/office/officeart/2005/8/layout/cycle6"/>
    <dgm:cxn modelId="{98D85A8B-59F7-45FE-91BC-7C3C4E31574B}" type="presOf" srcId="{63295C78-7121-4822-8B94-FBAAB96AAA8E}" destId="{504E4789-4F15-4D15-B3AF-1016E0678FBC}" srcOrd="0" destOrd="0" presId="urn:microsoft.com/office/officeart/2005/8/layout/cycle6"/>
    <dgm:cxn modelId="{7A71BB34-C5D1-4795-ACFF-BAD27667BC7E}" srcId="{AD99A385-4EE9-424F-BF23-590C245AC8E7}" destId="{813F325F-837E-4461-B293-72EAB4774D98}" srcOrd="4" destOrd="0" parTransId="{BB9EA18D-F465-4356-914A-F02195B229B5}" sibTransId="{E85C07DC-1107-4F24-877C-122237441BA0}"/>
    <dgm:cxn modelId="{30C12FA6-2755-4AAC-A390-C5A6B3DA77FA}" type="presOf" srcId="{04542144-6E57-47BC-A31A-12ABB73921FB}" destId="{A6435AF1-78C0-4A52-A2FC-B74722B98FBA}" srcOrd="0" destOrd="0" presId="urn:microsoft.com/office/officeart/2005/8/layout/cycle6"/>
    <dgm:cxn modelId="{DEE7B3C9-E423-41AD-9F2E-6A4A29855EF0}" type="presOf" srcId="{00C67001-9740-46F1-8A9B-DF5FEFE5AA31}" destId="{2467A087-286F-4E80-8121-88C3A42C5D22}" srcOrd="0" destOrd="0" presId="urn:microsoft.com/office/officeart/2005/8/layout/cycle6"/>
    <dgm:cxn modelId="{F41654C7-6576-493E-8F00-E8A828BED82E}" type="presOf" srcId="{4F8673D2-5356-4DA7-81AE-0A66533370FC}" destId="{4B6C23F3-619D-4549-B842-AA3201181A62}" srcOrd="0" destOrd="0" presId="urn:microsoft.com/office/officeart/2005/8/layout/cycle6"/>
    <dgm:cxn modelId="{01725EC4-97C8-4293-B22E-FEC29B788CC1}" type="presParOf" srcId="{54961448-C7BF-4203-8801-1391CAB1ADE1}" destId="{A6435AF1-78C0-4A52-A2FC-B74722B98FBA}" srcOrd="0" destOrd="0" presId="urn:microsoft.com/office/officeart/2005/8/layout/cycle6"/>
    <dgm:cxn modelId="{C43995A5-FDE3-4673-BF96-3458C80B32EC}" type="presParOf" srcId="{54961448-C7BF-4203-8801-1391CAB1ADE1}" destId="{853B027C-C825-4ECA-99F9-241941868C82}" srcOrd="1" destOrd="0" presId="urn:microsoft.com/office/officeart/2005/8/layout/cycle6"/>
    <dgm:cxn modelId="{2D7D4665-83E7-4A2C-9939-A3A4EAC81217}" type="presParOf" srcId="{54961448-C7BF-4203-8801-1391CAB1ADE1}" destId="{4B6C23F3-619D-4549-B842-AA3201181A62}" srcOrd="2" destOrd="0" presId="urn:microsoft.com/office/officeart/2005/8/layout/cycle6"/>
    <dgm:cxn modelId="{4C477611-5CE5-4961-B221-CA474B360E2E}" type="presParOf" srcId="{54961448-C7BF-4203-8801-1391CAB1ADE1}" destId="{841A8277-3B22-4974-BFC0-EC943530522C}" srcOrd="3" destOrd="0" presId="urn:microsoft.com/office/officeart/2005/8/layout/cycle6"/>
    <dgm:cxn modelId="{E10D91FC-08F1-4D35-B5B3-DA97FAF8D760}" type="presParOf" srcId="{54961448-C7BF-4203-8801-1391CAB1ADE1}" destId="{B99AA9E8-8816-4575-B856-30BBD8555A5E}" srcOrd="4" destOrd="0" presId="urn:microsoft.com/office/officeart/2005/8/layout/cycle6"/>
    <dgm:cxn modelId="{073C5C6A-E609-47F2-ABA3-38198799F215}" type="presParOf" srcId="{54961448-C7BF-4203-8801-1391CAB1ADE1}" destId="{504E4789-4F15-4D15-B3AF-1016E0678FBC}" srcOrd="5" destOrd="0" presId="urn:microsoft.com/office/officeart/2005/8/layout/cycle6"/>
    <dgm:cxn modelId="{1A6EF7E0-263D-470C-B7F8-9BDE31F4DAB0}" type="presParOf" srcId="{54961448-C7BF-4203-8801-1391CAB1ADE1}" destId="{56A1E95C-DE6F-414D-9289-003FFB606FC9}" srcOrd="6" destOrd="0" presId="urn:microsoft.com/office/officeart/2005/8/layout/cycle6"/>
    <dgm:cxn modelId="{73AF3357-2D27-4944-952C-F77A4179ACB1}" type="presParOf" srcId="{54961448-C7BF-4203-8801-1391CAB1ADE1}" destId="{0CF8975B-2277-4E0E-9BBA-CABEEF5E2317}" srcOrd="7" destOrd="0" presId="urn:microsoft.com/office/officeart/2005/8/layout/cycle6"/>
    <dgm:cxn modelId="{F0C986A9-CF69-40F1-92C4-34EE9FA683A5}" type="presParOf" srcId="{54961448-C7BF-4203-8801-1391CAB1ADE1}" destId="{2467A087-286F-4E80-8121-88C3A42C5D22}" srcOrd="8" destOrd="0" presId="urn:microsoft.com/office/officeart/2005/8/layout/cycle6"/>
    <dgm:cxn modelId="{123532E0-B993-4376-A567-558C00DD842D}" type="presParOf" srcId="{54961448-C7BF-4203-8801-1391CAB1ADE1}" destId="{1F8D0C4B-9EE6-4AFF-97CA-0F4C22C7C33E}" srcOrd="9" destOrd="0" presId="urn:microsoft.com/office/officeart/2005/8/layout/cycle6"/>
    <dgm:cxn modelId="{D1618BA5-0EE6-4181-88D6-C044F008CBAE}" type="presParOf" srcId="{54961448-C7BF-4203-8801-1391CAB1ADE1}" destId="{0DF82370-1E50-49E1-A00C-A9F4BA0665A2}" srcOrd="10" destOrd="0" presId="urn:microsoft.com/office/officeart/2005/8/layout/cycle6"/>
    <dgm:cxn modelId="{2AC2E3EF-1A4F-4807-8F67-C6F92B0D2FBA}" type="presParOf" srcId="{54961448-C7BF-4203-8801-1391CAB1ADE1}" destId="{C0D0B0A7-CAA6-4ECF-8E06-E5A37A094544}" srcOrd="11" destOrd="0" presId="urn:microsoft.com/office/officeart/2005/8/layout/cycle6"/>
    <dgm:cxn modelId="{161D318F-8DD5-45FF-AD41-D86BC8C7DE5E}" type="presParOf" srcId="{54961448-C7BF-4203-8801-1391CAB1ADE1}" destId="{20491643-E1B6-4C0B-8A33-A2C2B921E8E6}" srcOrd="12" destOrd="0" presId="urn:microsoft.com/office/officeart/2005/8/layout/cycle6"/>
    <dgm:cxn modelId="{3E269A49-5462-4D2D-8633-B8049B84321F}" type="presParOf" srcId="{54961448-C7BF-4203-8801-1391CAB1ADE1}" destId="{E5866B55-EF1E-4197-BCF9-07345330C529}" srcOrd="13" destOrd="0" presId="urn:microsoft.com/office/officeart/2005/8/layout/cycle6"/>
    <dgm:cxn modelId="{05D08054-1246-4224-AC74-99695F81E133}" type="presParOf" srcId="{54961448-C7BF-4203-8801-1391CAB1ADE1}" destId="{5A3BDBD8-E0D8-47CD-90CF-930C7BD3A576}" srcOrd="14" destOrd="0" presId="urn:microsoft.com/office/officeart/2005/8/layout/cycle6"/>
    <dgm:cxn modelId="{8C284900-2677-4B3C-87F9-E9BA373F4EB3}" type="presParOf" srcId="{54961448-C7BF-4203-8801-1391CAB1ADE1}" destId="{0B2A1877-3C45-419B-A755-C536129E9A0A}" srcOrd="15" destOrd="0" presId="urn:microsoft.com/office/officeart/2005/8/layout/cycle6"/>
    <dgm:cxn modelId="{C10C4842-A3AF-414F-9E51-710422618FAE}" type="presParOf" srcId="{54961448-C7BF-4203-8801-1391CAB1ADE1}" destId="{1364E65D-BE75-41E7-B68C-4D5D7C28FB4B}" srcOrd="16" destOrd="0" presId="urn:microsoft.com/office/officeart/2005/8/layout/cycle6"/>
    <dgm:cxn modelId="{1EE042D4-B9AA-4F52-B5AB-5890E7074716}" type="presParOf" srcId="{54961448-C7BF-4203-8801-1391CAB1ADE1}" destId="{15C297C7-B5F4-4BD8-B22D-EB1BABABD381}" srcOrd="17" destOrd="0" presId="urn:microsoft.com/office/officeart/2005/8/layout/cycle6"/>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3693795" cy="1976755"/>
        <a:chOff x="0" y="0"/>
        <a:chExt cx="3693795" cy="1976755"/>
      </a:xfrm>
    </dsp:grpSpPr>
    <dsp:sp modelId="{A6435AF1-78C0-4A52-A2FC-B74722B98FBA}">
      <dsp:nvSpPr>
        <dsp:cNvPr id="3" name="圆角矩形 2"/>
        <dsp:cNvSpPr/>
      </dsp:nvSpPr>
      <dsp:spPr bwMode="white">
        <a:xfrm>
          <a:off x="1580457" y="0"/>
          <a:ext cx="532882" cy="346373"/>
        </a:xfrm>
        <a:prstGeom prst="roundRect">
          <a:avLst/>
        </a:prstGeom>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30480" tIns="30480" rIns="30480" bIns="3048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绿色信贷</a:t>
          </a:r>
        </a:p>
      </dsp:txBody>
      <dsp:txXfrm>
        <a:off x="1580457" y="0"/>
        <a:ext cx="532882" cy="346373"/>
      </dsp:txXfrm>
    </dsp:sp>
    <dsp:sp modelId="{4B6C23F3-619D-4549-B842-AA3201181A62}">
      <dsp:nvSpPr>
        <dsp:cNvPr id="4" name="弧形 3"/>
        <dsp:cNvSpPr/>
      </dsp:nvSpPr>
      <dsp:spPr bwMode="white">
        <a:xfrm>
          <a:off x="1031707" y="173187"/>
          <a:ext cx="1630382" cy="1630382"/>
        </a:xfrm>
        <a:prstGeom prst="arc">
          <a:avLst>
            <a:gd name="adj1" fmla="val 17359935"/>
            <a:gd name="adj2" fmla="val 18858634"/>
          </a:avLst>
        </a:prstGeom>
      </dsp:spPr>
      <dsp:style>
        <a:lnRef idx="1">
          <a:schemeClr val="accent5">
            <a:hueOff val="0"/>
            <a:satOff val="0"/>
            <a:lumOff val="0"/>
            <a:alpha val="100000"/>
          </a:schemeClr>
        </a:lnRef>
        <a:fillRef idx="0">
          <a:scrgbClr r="0" g="0" b="0"/>
        </a:fillRef>
        <a:effectRef idx="0">
          <a:scrgbClr r="0" g="0" b="0"/>
        </a:effectRef>
        <a:fontRef idx="minor"/>
      </dsp:style>
      <dsp:txXfrm>
        <a:off x="1031707" y="173187"/>
        <a:ext cx="1630382" cy="1630382"/>
      </dsp:txXfrm>
    </dsp:sp>
    <dsp:sp modelId="{841A8277-3B22-4974-BFC0-EC943530522C}">
      <dsp:nvSpPr>
        <dsp:cNvPr id="5" name="圆角矩形 4"/>
        <dsp:cNvSpPr/>
      </dsp:nvSpPr>
      <dsp:spPr bwMode="white">
        <a:xfrm>
          <a:off x="2286433" y="407595"/>
          <a:ext cx="532882" cy="346373"/>
        </a:xfrm>
        <a:prstGeom prst="roundRect">
          <a:avLst/>
        </a:prstGeom>
      </dsp:spPr>
      <dsp:style>
        <a:lnRef idx="2">
          <a:schemeClr val="lt1"/>
        </a:lnRef>
        <a:fillRef idx="1">
          <a:schemeClr val="accent5">
            <a:hueOff val="2124000"/>
            <a:satOff val="2980"/>
            <a:lumOff val="2588"/>
            <a:alpha val="100000"/>
          </a:schemeClr>
        </a:fillRef>
        <a:effectRef idx="0">
          <a:scrgbClr r="0" g="0" b="0"/>
        </a:effectRef>
        <a:fontRef idx="minor">
          <a:schemeClr val="lt1"/>
        </a:fontRef>
      </dsp:style>
      <dsp:txBody>
        <a:bodyPr lIns="30480" tIns="30480" rIns="30480" bIns="3048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绿色共享</a:t>
          </a:r>
        </a:p>
      </dsp:txBody>
      <dsp:txXfrm>
        <a:off x="2286433" y="407595"/>
        <a:ext cx="532882" cy="346373"/>
      </dsp:txXfrm>
    </dsp:sp>
    <dsp:sp modelId="{504E4789-4F15-4D15-B3AF-1016E0678FBC}">
      <dsp:nvSpPr>
        <dsp:cNvPr id="6" name="弧形 5"/>
        <dsp:cNvSpPr/>
      </dsp:nvSpPr>
      <dsp:spPr bwMode="white">
        <a:xfrm>
          <a:off x="1031707" y="173187"/>
          <a:ext cx="1630382" cy="1630382"/>
        </a:xfrm>
        <a:prstGeom prst="arc">
          <a:avLst>
            <a:gd name="adj1" fmla="val 20617370"/>
            <a:gd name="adj2" fmla="val 982629"/>
          </a:avLst>
        </a:prstGeom>
      </dsp:spPr>
      <dsp:style>
        <a:lnRef idx="1">
          <a:schemeClr val="accent5">
            <a:hueOff val="2124000"/>
            <a:satOff val="2980"/>
            <a:lumOff val="2588"/>
            <a:alpha val="100000"/>
          </a:schemeClr>
        </a:lnRef>
        <a:fillRef idx="0">
          <a:scrgbClr r="0" g="0" b="0"/>
        </a:fillRef>
        <a:effectRef idx="0">
          <a:scrgbClr r="0" g="0" b="0"/>
        </a:effectRef>
        <a:fontRef idx="minor"/>
      </dsp:style>
      <dsp:txXfrm>
        <a:off x="1031707" y="173187"/>
        <a:ext cx="1630382" cy="1630382"/>
      </dsp:txXfrm>
    </dsp:sp>
    <dsp:sp modelId="{56A1E95C-DE6F-414D-9289-003FFB606FC9}">
      <dsp:nvSpPr>
        <dsp:cNvPr id="7" name="圆角矩形 6"/>
        <dsp:cNvSpPr/>
      </dsp:nvSpPr>
      <dsp:spPr bwMode="white">
        <a:xfrm>
          <a:off x="2286433" y="1222786"/>
          <a:ext cx="532882" cy="346373"/>
        </a:xfrm>
        <a:prstGeom prst="roundRect">
          <a:avLst/>
        </a:prstGeom>
      </dsp:spPr>
      <dsp:style>
        <a:lnRef idx="2">
          <a:schemeClr val="lt1"/>
        </a:lnRef>
        <a:fillRef idx="1">
          <a:schemeClr val="accent5">
            <a:hueOff val="4248000"/>
            <a:satOff val="5961"/>
            <a:lumOff val="5176"/>
            <a:alpha val="100000"/>
          </a:schemeClr>
        </a:fillRef>
        <a:effectRef idx="0">
          <a:scrgbClr r="0" g="0" b="0"/>
        </a:effectRef>
        <a:fontRef idx="minor">
          <a:schemeClr val="lt1"/>
        </a:fontRef>
      </dsp:style>
      <dsp:txBody>
        <a:bodyPr lIns="30480" tIns="30480" rIns="30480" bIns="3048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绿色扶贫</a:t>
          </a:r>
        </a:p>
      </dsp:txBody>
      <dsp:txXfrm>
        <a:off x="2286433" y="1222786"/>
        <a:ext cx="532882" cy="346373"/>
      </dsp:txXfrm>
    </dsp:sp>
    <dsp:sp modelId="{2467A087-286F-4E80-8121-88C3A42C5D22}">
      <dsp:nvSpPr>
        <dsp:cNvPr id="8" name="弧形 7"/>
        <dsp:cNvSpPr/>
      </dsp:nvSpPr>
      <dsp:spPr bwMode="white">
        <a:xfrm>
          <a:off x="1031707" y="173187"/>
          <a:ext cx="1630382" cy="1630382"/>
        </a:xfrm>
        <a:prstGeom prst="arc">
          <a:avLst>
            <a:gd name="adj1" fmla="val 2741365"/>
            <a:gd name="adj2" fmla="val 4240064"/>
          </a:avLst>
        </a:prstGeom>
      </dsp:spPr>
      <dsp:style>
        <a:lnRef idx="1">
          <a:schemeClr val="accent5">
            <a:hueOff val="4248000"/>
            <a:satOff val="5961"/>
            <a:lumOff val="5176"/>
            <a:alpha val="100000"/>
          </a:schemeClr>
        </a:lnRef>
        <a:fillRef idx="0">
          <a:scrgbClr r="0" g="0" b="0"/>
        </a:fillRef>
        <a:effectRef idx="0">
          <a:scrgbClr r="0" g="0" b="0"/>
        </a:effectRef>
        <a:fontRef idx="minor"/>
      </dsp:style>
      <dsp:txXfrm>
        <a:off x="1031707" y="173187"/>
        <a:ext cx="1630382" cy="1630382"/>
      </dsp:txXfrm>
    </dsp:sp>
    <dsp:sp modelId="{1F8D0C4B-9EE6-4AFF-97CA-0F4C22C7C33E}">
      <dsp:nvSpPr>
        <dsp:cNvPr id="9" name="圆角矩形 8"/>
        <dsp:cNvSpPr/>
      </dsp:nvSpPr>
      <dsp:spPr bwMode="white">
        <a:xfrm>
          <a:off x="1580457" y="1630382"/>
          <a:ext cx="532882" cy="346373"/>
        </a:xfrm>
        <a:prstGeom prst="roundRect">
          <a:avLst/>
        </a:prstGeom>
      </dsp:spPr>
      <dsp:style>
        <a:lnRef idx="2">
          <a:schemeClr val="lt1"/>
        </a:lnRef>
        <a:fillRef idx="1">
          <a:schemeClr val="accent5">
            <a:hueOff val="6372000"/>
            <a:satOff val="8941"/>
            <a:lumOff val="7765"/>
            <a:alpha val="100000"/>
          </a:schemeClr>
        </a:fillRef>
        <a:effectRef idx="0">
          <a:scrgbClr r="0" g="0" b="0"/>
        </a:effectRef>
        <a:fontRef idx="minor">
          <a:schemeClr val="lt1"/>
        </a:fontRef>
      </dsp:style>
      <dsp:txBody>
        <a:bodyPr lIns="30480" tIns="30480" rIns="30480" bIns="3048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绿色公益</a:t>
          </a:r>
        </a:p>
      </dsp:txBody>
      <dsp:txXfrm>
        <a:off x="1580457" y="1630382"/>
        <a:ext cx="532882" cy="346373"/>
      </dsp:txXfrm>
    </dsp:sp>
    <dsp:sp modelId="{C0D0B0A7-CAA6-4ECF-8E06-E5A37A094544}">
      <dsp:nvSpPr>
        <dsp:cNvPr id="10" name="弧形 9"/>
        <dsp:cNvSpPr/>
      </dsp:nvSpPr>
      <dsp:spPr bwMode="white">
        <a:xfrm>
          <a:off x="1031707" y="173187"/>
          <a:ext cx="1630382" cy="1630382"/>
        </a:xfrm>
        <a:prstGeom prst="arc">
          <a:avLst>
            <a:gd name="adj1" fmla="val 6559935"/>
            <a:gd name="adj2" fmla="val 8058634"/>
          </a:avLst>
        </a:prstGeom>
      </dsp:spPr>
      <dsp:style>
        <a:lnRef idx="1">
          <a:schemeClr val="accent5">
            <a:hueOff val="6372000"/>
            <a:satOff val="8941"/>
            <a:lumOff val="7765"/>
            <a:alpha val="100000"/>
          </a:schemeClr>
        </a:lnRef>
        <a:fillRef idx="0">
          <a:scrgbClr r="0" g="0" b="0"/>
        </a:fillRef>
        <a:effectRef idx="0">
          <a:scrgbClr r="0" g="0" b="0"/>
        </a:effectRef>
        <a:fontRef idx="minor"/>
      </dsp:style>
      <dsp:txXfrm>
        <a:off x="1031707" y="173187"/>
        <a:ext cx="1630382" cy="1630382"/>
      </dsp:txXfrm>
    </dsp:sp>
    <dsp:sp modelId="{20491643-E1B6-4C0B-8A33-A2C2B921E8E6}">
      <dsp:nvSpPr>
        <dsp:cNvPr id="11" name="圆角矩形 10"/>
        <dsp:cNvSpPr/>
      </dsp:nvSpPr>
      <dsp:spPr bwMode="white">
        <a:xfrm>
          <a:off x="874481" y="1222786"/>
          <a:ext cx="532882" cy="346373"/>
        </a:xfrm>
        <a:prstGeom prst="roundRect">
          <a:avLst/>
        </a:prstGeom>
      </dsp:spPr>
      <dsp:style>
        <a:lnRef idx="2">
          <a:schemeClr val="lt1"/>
        </a:lnRef>
        <a:fillRef idx="1">
          <a:schemeClr val="accent5">
            <a:hueOff val="8496000"/>
            <a:satOff val="11922"/>
            <a:lumOff val="10353"/>
            <a:alpha val="100000"/>
          </a:schemeClr>
        </a:fillRef>
        <a:effectRef idx="0">
          <a:scrgbClr r="0" g="0" b="0"/>
        </a:effectRef>
        <a:fontRef idx="minor">
          <a:schemeClr val="lt1"/>
        </a:fontRef>
      </dsp:style>
      <dsp:txBody>
        <a:bodyPr lIns="30480" tIns="30480" rIns="30480" bIns="3048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绿色信用</a:t>
          </a:r>
        </a:p>
      </dsp:txBody>
      <dsp:txXfrm>
        <a:off x="874481" y="1222786"/>
        <a:ext cx="532882" cy="346373"/>
      </dsp:txXfrm>
    </dsp:sp>
    <dsp:sp modelId="{5A3BDBD8-E0D8-47CD-90CF-930C7BD3A576}">
      <dsp:nvSpPr>
        <dsp:cNvPr id="12" name="弧形 11"/>
        <dsp:cNvSpPr/>
      </dsp:nvSpPr>
      <dsp:spPr bwMode="white">
        <a:xfrm>
          <a:off x="1031707" y="173187"/>
          <a:ext cx="1630382" cy="1630382"/>
        </a:xfrm>
        <a:prstGeom prst="arc">
          <a:avLst>
            <a:gd name="adj1" fmla="val 9817370"/>
            <a:gd name="adj2" fmla="val 11782629"/>
          </a:avLst>
        </a:prstGeom>
      </dsp:spPr>
      <dsp:style>
        <a:lnRef idx="1">
          <a:schemeClr val="accent5">
            <a:hueOff val="8496000"/>
            <a:satOff val="11922"/>
            <a:lumOff val="10353"/>
            <a:alpha val="100000"/>
          </a:schemeClr>
        </a:lnRef>
        <a:fillRef idx="0">
          <a:scrgbClr r="0" g="0" b="0"/>
        </a:fillRef>
        <a:effectRef idx="0">
          <a:scrgbClr r="0" g="0" b="0"/>
        </a:effectRef>
        <a:fontRef idx="minor"/>
      </dsp:style>
      <dsp:txXfrm>
        <a:off x="1031707" y="173187"/>
        <a:ext cx="1630382" cy="1630382"/>
      </dsp:txXfrm>
    </dsp:sp>
    <dsp:sp modelId="{0B2A1877-3C45-419B-A755-C536129E9A0A}">
      <dsp:nvSpPr>
        <dsp:cNvPr id="13" name="圆角矩形 12"/>
        <dsp:cNvSpPr/>
      </dsp:nvSpPr>
      <dsp:spPr bwMode="white">
        <a:xfrm>
          <a:off x="874481" y="407595"/>
          <a:ext cx="532882" cy="346373"/>
        </a:xfrm>
        <a:prstGeom prst="roundRect">
          <a:avLst/>
        </a:prstGeom>
      </dsp:spPr>
      <dsp:style>
        <a:lnRef idx="2">
          <a:schemeClr val="lt1"/>
        </a:lnRef>
        <a:fillRef idx="1">
          <a:schemeClr val="accent5">
            <a:hueOff val="10620000"/>
            <a:satOff val="14902"/>
            <a:lumOff val="12941"/>
            <a:alpha val="100000"/>
          </a:schemeClr>
        </a:fillRef>
        <a:effectRef idx="0">
          <a:scrgbClr r="0" g="0" b="0"/>
        </a:effectRef>
        <a:fontRef idx="minor">
          <a:schemeClr val="lt1"/>
        </a:fontRef>
      </dsp:style>
      <dsp:txBody>
        <a:bodyPr lIns="30480" tIns="30480" rIns="30480" bIns="3048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绿色支付</a:t>
          </a:r>
        </a:p>
      </dsp:txBody>
      <dsp:txXfrm>
        <a:off x="874481" y="407595"/>
        <a:ext cx="532882" cy="346373"/>
      </dsp:txXfrm>
    </dsp:sp>
    <dsp:sp modelId="{15C297C7-B5F4-4BD8-B22D-EB1BABABD381}">
      <dsp:nvSpPr>
        <dsp:cNvPr id="14" name="弧形 13"/>
        <dsp:cNvSpPr/>
      </dsp:nvSpPr>
      <dsp:spPr bwMode="white">
        <a:xfrm>
          <a:off x="1031707" y="173187"/>
          <a:ext cx="1630382" cy="1630382"/>
        </a:xfrm>
        <a:prstGeom prst="arc">
          <a:avLst>
            <a:gd name="adj1" fmla="val 13541365"/>
            <a:gd name="adj2" fmla="val 15040064"/>
          </a:avLst>
        </a:prstGeom>
      </dsp:spPr>
      <dsp:style>
        <a:lnRef idx="1">
          <a:schemeClr val="accent5">
            <a:hueOff val="10620000"/>
            <a:satOff val="14902"/>
            <a:lumOff val="12941"/>
            <a:alpha val="100000"/>
          </a:schemeClr>
        </a:lnRef>
        <a:fillRef idx="0">
          <a:scrgbClr r="0" g="0" b="0"/>
        </a:fillRef>
        <a:effectRef idx="0">
          <a:scrgbClr r="0" g="0" b="0"/>
        </a:effectRef>
        <a:fontRef idx="minor"/>
      </dsp:style>
      <dsp:txXfrm>
        <a:off x="1031707" y="173187"/>
        <a:ext cx="1630382" cy="1630382"/>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endSty" val="noArr"/>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绿色简约风项目计划封面"/>
      <sectRole val="1"/>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1558</Words>
  <Characters>1665</Characters>
  <Lines>0</Lines>
  <Paragraphs>0</Paragraphs>
  <TotalTime>3</TotalTime>
  <ScaleCrop>false</ScaleCrop>
  <LinksUpToDate>false</LinksUpToDate>
  <CharactersWithSpaces>1678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2024-11-01T02:22:00Z</dcterms:created>
  <dc:creator>何鑫</dc:creator>
  <cp:lastModifiedBy>何鑫</cp:lastModifiedBy>
  <dcterms:modified xsi:type="dcterms:W3CDTF">2025-02-14T07:54:01Z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3DEE93E12BC64AEC8F6DB66EA9D01D71_11</vt:lpwstr>
  </property>
  <property fmtid="{D5CDD505-2E9C-101B-9397-08002B2CF9AE}" pid="4" name="KSOTemplateDocerSaveRecord">
    <vt:lpwstr>eyJoZGlkIjoiZjFmZWIzNDg2MmIzZjExOTIzMmViNTBmYTMwYTk0ZWYiLCJ1c2VySWQiOiIyNDEwNjQwNDAifQ==</vt:lpwstr>
  </property>
</Properties>
</file>